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FE818" w14:textId="1A6AC029" w:rsidR="00C80FEE" w:rsidRDefault="00C80FEE" w:rsidP="004E0DD4">
      <w:pPr>
        <w:rPr>
          <w:rFonts w:ascii="Times New Roman" w:hAnsi="Times New Roman" w:cs="Times New Roman"/>
          <w:b/>
          <w:bCs/>
          <w:sz w:val="28"/>
          <w:szCs w:val="28"/>
        </w:rPr>
      </w:pPr>
      <w:r>
        <w:rPr>
          <w:rFonts w:ascii="Times New Roman" w:hAnsi="Times New Roman" w:cs="Times New Roman"/>
          <w:b/>
          <w:bCs/>
          <w:sz w:val="28"/>
          <w:szCs w:val="28"/>
        </w:rPr>
        <w:t xml:space="preserve">Eksplorasi </w:t>
      </w:r>
      <w:r w:rsidRPr="00C80FEE">
        <w:rPr>
          <w:rFonts w:ascii="Times New Roman" w:hAnsi="Times New Roman" w:cs="Times New Roman"/>
          <w:b/>
          <w:bCs/>
          <w:sz w:val="28"/>
          <w:szCs w:val="28"/>
        </w:rPr>
        <w:t>Matius 25:14-30 untuk Memberdayakan Kewirausahaan Pemuda Gereja St. Dimitrius Medan</w:t>
      </w:r>
    </w:p>
    <w:p w14:paraId="287D032C" w14:textId="2000BD44" w:rsidR="00B94EEF" w:rsidRPr="00F0190C" w:rsidRDefault="00DF7A71" w:rsidP="004E0DD4">
      <w:pPr>
        <w:rPr>
          <w:rFonts w:ascii="Times New Roman" w:hAnsi="Times New Roman" w:cs="Times New Roman"/>
          <w:b/>
          <w:bCs/>
        </w:rPr>
      </w:pPr>
      <w:r>
        <w:rPr>
          <w:rFonts w:ascii="Times New Roman" w:hAnsi="Times New Roman" w:cs="Times New Roman"/>
          <w:b/>
          <w:bCs/>
        </w:rPr>
        <w:t>Jenny  Rosa Ra</w:t>
      </w:r>
      <w:r w:rsidR="00A268BE">
        <w:rPr>
          <w:rFonts w:ascii="Times New Roman" w:hAnsi="Times New Roman" w:cs="Times New Roman"/>
          <w:b/>
          <w:bCs/>
          <w:lang w:val="en-US"/>
        </w:rPr>
        <w:t>d</w:t>
      </w:r>
      <w:r>
        <w:rPr>
          <w:rFonts w:ascii="Times New Roman" w:hAnsi="Times New Roman" w:cs="Times New Roman"/>
          <w:b/>
          <w:bCs/>
        </w:rPr>
        <w:t>ja Udju</w:t>
      </w:r>
      <w:r w:rsidR="00F0190C">
        <w:rPr>
          <w:rFonts w:eastAsia="Calibri"/>
          <w:b/>
          <w:i/>
          <w:lang w:val="en-US" w:eastAsia="en-US"/>
        </w:rPr>
        <w:t xml:space="preserve">, </w:t>
      </w:r>
      <w:proofErr w:type="spellStart"/>
      <w:r>
        <w:rPr>
          <w:rFonts w:eastAsia="Calibri"/>
          <w:b/>
          <w:i/>
          <w:lang w:val="en-US" w:eastAsia="en-US"/>
        </w:rPr>
        <w:t>Adolfina</w:t>
      </w:r>
      <w:proofErr w:type="spellEnd"/>
      <w:r>
        <w:rPr>
          <w:rFonts w:eastAsia="Calibri"/>
          <w:b/>
          <w:i/>
          <w:lang w:val="en-US" w:eastAsia="en-US"/>
        </w:rPr>
        <w:t xml:space="preserve"> Elisabeth Koamesakh</w:t>
      </w:r>
      <w:r w:rsidR="00F0190C" w:rsidRPr="00967E76">
        <w:rPr>
          <w:rFonts w:eastAsia="Calibri"/>
          <w:b/>
          <w:i/>
          <w:vertAlign w:val="superscript"/>
          <w:lang w:val="en-US" w:eastAsia="en-US"/>
        </w:rPr>
        <w:t>2</w:t>
      </w:r>
    </w:p>
    <w:p w14:paraId="219E0F29" w14:textId="68E3D5DC" w:rsidR="00B94EEF" w:rsidRPr="000D698C" w:rsidRDefault="00B94EEF" w:rsidP="004E0DD4">
      <w:pPr>
        <w:rPr>
          <w:rFonts w:ascii="Times New Roman" w:hAnsi="Times New Roman" w:cs="Times New Roman"/>
          <w:sz w:val="24"/>
          <w:szCs w:val="24"/>
        </w:rPr>
      </w:pPr>
      <w:r w:rsidRPr="000D698C">
        <w:rPr>
          <w:rFonts w:ascii="Times New Roman" w:hAnsi="Times New Roman" w:cs="Times New Roman"/>
          <w:sz w:val="24"/>
          <w:szCs w:val="24"/>
        </w:rPr>
        <w:t xml:space="preserve">STT. Paulus Medan </w:t>
      </w:r>
    </w:p>
    <w:p w14:paraId="1386EF22" w14:textId="4F9FF64D" w:rsidR="0052718A" w:rsidRPr="0052718A" w:rsidRDefault="0052718A" w:rsidP="004E0DD4">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 :</w:t>
      </w:r>
      <w:proofErr w:type="gramEnd"/>
      <w:r>
        <w:rPr>
          <w:rFonts w:ascii="Times New Roman" w:hAnsi="Times New Roman" w:cs="Times New Roman"/>
          <w:sz w:val="24"/>
          <w:szCs w:val="24"/>
          <w:lang w:val="en-US"/>
        </w:rPr>
        <w:t xml:space="preserve"> rosajenny591@gmail.com</w:t>
      </w:r>
    </w:p>
    <w:p w14:paraId="43D27F2C" w14:textId="46B8BED1" w:rsidR="00B94EEF" w:rsidRPr="000D698C" w:rsidRDefault="0052718A" w:rsidP="0052718A">
      <w:pPr>
        <w:ind w:left="2160"/>
        <w:jc w:val="both"/>
        <w:rPr>
          <w:rFonts w:ascii="Times New Roman" w:hAnsi="Times New Roman" w:cs="Times New Roman"/>
          <w:sz w:val="24"/>
          <w:szCs w:val="24"/>
        </w:rPr>
      </w:pPr>
      <w:r>
        <w:rPr>
          <w:rFonts w:ascii="Times New Roman" w:hAnsi="Times New Roman" w:cs="Times New Roman"/>
          <w:sz w:val="24"/>
          <w:szCs w:val="24"/>
          <w:lang w:val="en-US"/>
        </w:rPr>
        <w:t xml:space="preserve">        </w:t>
      </w:r>
      <w:bookmarkStart w:id="0" w:name="_GoBack"/>
      <w:bookmarkEnd w:id="0"/>
      <w:r w:rsidR="00B94EEF" w:rsidRPr="000D698C">
        <w:rPr>
          <w:rFonts w:ascii="Times New Roman" w:hAnsi="Times New Roman" w:cs="Times New Roman"/>
          <w:sz w:val="24"/>
          <w:szCs w:val="24"/>
        </w:rPr>
        <w:t>Email: finaelisabeth@gmail.com</w:t>
      </w:r>
    </w:p>
    <w:p w14:paraId="5219D8C3" w14:textId="627B5F83" w:rsidR="007C6BFC" w:rsidRDefault="004E0DD4" w:rsidP="007C6BFC">
      <w:pPr>
        <w:rPr>
          <w:rFonts w:ascii="Times New Roman" w:hAnsi="Times New Roman" w:cs="Times New Roman"/>
          <w:sz w:val="24"/>
          <w:szCs w:val="24"/>
        </w:rPr>
      </w:pPr>
      <w:r w:rsidRPr="000D698C">
        <w:rPr>
          <w:rFonts w:ascii="Times New Roman" w:hAnsi="Times New Roman" w:cs="Times New Roman"/>
          <w:sz w:val="24"/>
          <w:szCs w:val="24"/>
        </w:rPr>
        <w:t xml:space="preserve"> </w:t>
      </w:r>
    </w:p>
    <w:p w14:paraId="680C60A6" w14:textId="354FD136" w:rsidR="00301C8F" w:rsidRPr="007C6BFC" w:rsidRDefault="00FA45B9" w:rsidP="007C6BFC">
      <w:pPr>
        <w:jc w:val="left"/>
        <w:rPr>
          <w:rFonts w:ascii="Times New Roman" w:hAnsi="Times New Roman" w:cs="Times New Roman"/>
          <w:b/>
          <w:bCs/>
          <w:sz w:val="24"/>
          <w:szCs w:val="24"/>
        </w:rPr>
      </w:pPr>
      <w:r w:rsidRPr="007C6BFC">
        <w:rPr>
          <w:rFonts w:ascii="Times New Roman" w:hAnsi="Times New Roman" w:cs="Times New Roman"/>
          <w:b/>
          <w:bCs/>
          <w:sz w:val="24"/>
          <w:szCs w:val="24"/>
        </w:rPr>
        <w:t>Abstrak</w:t>
      </w:r>
    </w:p>
    <w:p w14:paraId="0ADB7BDB" w14:textId="77777777" w:rsidR="002C3752" w:rsidRDefault="002C3752" w:rsidP="002C3752">
      <w:pPr>
        <w:ind w:right="-1"/>
        <w:jc w:val="both"/>
        <w:rPr>
          <w:rFonts w:ascii="Times New Roman" w:hAnsi="Times New Roman" w:cs="Times New Roman"/>
          <w:sz w:val="24"/>
          <w:szCs w:val="24"/>
        </w:rPr>
      </w:pPr>
    </w:p>
    <w:p w14:paraId="212B48B7" w14:textId="77777777" w:rsidR="002C3752" w:rsidRPr="00F0190C" w:rsidRDefault="002C3752" w:rsidP="002C3752">
      <w:pPr>
        <w:ind w:right="-1"/>
        <w:jc w:val="both"/>
        <w:rPr>
          <w:rFonts w:ascii="Times New Roman" w:hAnsi="Times New Roman" w:cs="Times New Roman"/>
          <w:i/>
          <w:iCs/>
          <w:sz w:val="24"/>
          <w:szCs w:val="24"/>
        </w:rPr>
      </w:pPr>
      <w:r w:rsidRPr="00F0190C">
        <w:rPr>
          <w:rFonts w:ascii="Times New Roman" w:hAnsi="Times New Roman" w:cs="Times New Roman"/>
          <w:i/>
          <w:iCs/>
          <w:sz w:val="24"/>
          <w:szCs w:val="24"/>
        </w:rPr>
        <w:t xml:space="preserve">Entrepreneurship is generally understood as the work of economists, traders, or simply people who have special skills in doing business, even though everyone likes to have money. Life requires a lot of spending, so humans need a source of income, including </w:t>
      </w:r>
      <w:r>
        <w:rPr>
          <w:rFonts w:ascii="Times New Roman" w:hAnsi="Times New Roman" w:cs="Times New Roman"/>
          <w:i/>
          <w:iCs/>
          <w:sz w:val="24"/>
          <w:szCs w:val="24"/>
        </w:rPr>
        <w:t>the</w:t>
      </w:r>
      <w:r w:rsidRPr="00F0190C">
        <w:rPr>
          <w:rFonts w:ascii="Times New Roman" w:hAnsi="Times New Roman" w:cs="Times New Roman"/>
          <w:i/>
          <w:iCs/>
          <w:sz w:val="24"/>
          <w:szCs w:val="24"/>
        </w:rPr>
        <w:t xml:space="preserve"> entrepreneurial activities. Doing business requires a strategy that is based on knowledge and skills. In the context of research texts, businessmen are God's business partners with certain qualifications. Focusing on the church's youth as entrepreneurs need to be equipped with Christian business principles. The principle in question is based on the interpretation of the Gospel of Matthew 25:14-30. Financiers provide financial capital or talents to business partners to be developed. Allah is a creditor and a partner of man as a debtor.  This research uses two models: thematic exposition and practical research of 15 young people of the Agios Demetrios Medan Orthodox Church with data collection techniques through interviews. The interview focused on three main elements in the research text, namely God-given capital, opportunity, and responsibility. The results of the interview showed that 60% of the youth admitted that work is a gift from God, namely human capital without business capital. There 75% of youth who take advantage of opportunities to work on their economic activities, and 75% carry out entrepreneurial activities responsibly. The results show that the youth need Church-based entrepreneurship training and research financial capital sources to strengthen independent businesses. Training materials in the form of integration between the gospel and the world of work need to be improved. The contribution of research will practically make the youth do their work in accordance with the values of the gospel.</w:t>
      </w:r>
    </w:p>
    <w:p w14:paraId="14916B40" w14:textId="77777777" w:rsidR="002C3752" w:rsidRPr="00F0190C" w:rsidRDefault="002C3752" w:rsidP="002C3752">
      <w:pPr>
        <w:ind w:right="-1"/>
        <w:jc w:val="both"/>
        <w:rPr>
          <w:rFonts w:ascii="Times New Roman" w:hAnsi="Times New Roman" w:cs="Times New Roman"/>
          <w:i/>
          <w:iCs/>
          <w:sz w:val="24"/>
          <w:szCs w:val="24"/>
        </w:rPr>
      </w:pPr>
    </w:p>
    <w:p w14:paraId="29CC36C4" w14:textId="77777777" w:rsidR="002C3752" w:rsidRPr="000D698C" w:rsidRDefault="002C3752" w:rsidP="002C3752">
      <w:pPr>
        <w:ind w:right="-1"/>
        <w:jc w:val="both"/>
        <w:rPr>
          <w:rFonts w:ascii="Times New Roman" w:hAnsi="Times New Roman" w:cs="Times New Roman"/>
          <w:sz w:val="24"/>
          <w:szCs w:val="24"/>
        </w:rPr>
      </w:pPr>
      <w:r w:rsidRPr="00F0190C">
        <w:rPr>
          <w:rFonts w:ascii="Times New Roman" w:hAnsi="Times New Roman" w:cs="Times New Roman"/>
          <w:b/>
          <w:bCs/>
          <w:sz w:val="24"/>
          <w:szCs w:val="24"/>
        </w:rPr>
        <w:t>Keywords:</w:t>
      </w:r>
      <w:r w:rsidRPr="000D698C">
        <w:rPr>
          <w:rFonts w:ascii="Times New Roman" w:hAnsi="Times New Roman" w:cs="Times New Roman"/>
          <w:sz w:val="24"/>
          <w:szCs w:val="24"/>
        </w:rPr>
        <w:t xml:space="preserve"> Entrepre</w:t>
      </w:r>
      <w:r>
        <w:rPr>
          <w:rFonts w:ascii="Times New Roman" w:hAnsi="Times New Roman" w:cs="Times New Roman"/>
          <w:sz w:val="24"/>
          <w:szCs w:val="24"/>
        </w:rPr>
        <w:t>neu</w:t>
      </w:r>
      <w:r w:rsidRPr="000D698C">
        <w:rPr>
          <w:rFonts w:ascii="Times New Roman" w:hAnsi="Times New Roman" w:cs="Times New Roman"/>
          <w:sz w:val="24"/>
          <w:szCs w:val="24"/>
        </w:rPr>
        <w:t xml:space="preserve">rship, </w:t>
      </w:r>
      <w:r>
        <w:rPr>
          <w:rFonts w:ascii="Times New Roman" w:hAnsi="Times New Roman" w:cs="Times New Roman"/>
          <w:sz w:val="24"/>
          <w:szCs w:val="24"/>
        </w:rPr>
        <w:t>Capital, Opportunities, Responsible</w:t>
      </w:r>
    </w:p>
    <w:p w14:paraId="1A5DBFBE" w14:textId="77777777" w:rsidR="002C3752" w:rsidRPr="000D698C" w:rsidRDefault="002C3752" w:rsidP="002C3752">
      <w:pPr>
        <w:ind w:right="-1"/>
        <w:jc w:val="both"/>
        <w:rPr>
          <w:rFonts w:ascii="Times New Roman" w:hAnsi="Times New Roman" w:cs="Times New Roman"/>
          <w:sz w:val="24"/>
          <w:szCs w:val="24"/>
        </w:rPr>
      </w:pPr>
    </w:p>
    <w:p w14:paraId="19919AE4" w14:textId="77777777" w:rsidR="002C3752" w:rsidRPr="00301C8F" w:rsidRDefault="002C3752" w:rsidP="002C3752">
      <w:pPr>
        <w:ind w:right="-1"/>
        <w:jc w:val="both"/>
        <w:rPr>
          <w:rFonts w:ascii="Times New Roman" w:hAnsi="Times New Roman" w:cs="Times New Roman"/>
          <w:b/>
          <w:bCs/>
          <w:sz w:val="24"/>
          <w:szCs w:val="24"/>
        </w:rPr>
      </w:pPr>
      <w:r w:rsidRPr="00301C8F">
        <w:rPr>
          <w:rFonts w:ascii="Times New Roman" w:hAnsi="Times New Roman" w:cs="Times New Roman"/>
          <w:b/>
          <w:bCs/>
          <w:sz w:val="24"/>
          <w:szCs w:val="24"/>
        </w:rPr>
        <w:t>Pendahuluan</w:t>
      </w:r>
    </w:p>
    <w:p w14:paraId="01EFDF85" w14:textId="77777777" w:rsidR="002C3752" w:rsidRPr="000D698C" w:rsidRDefault="002C3752" w:rsidP="002C3752">
      <w:pPr>
        <w:widowControl w:val="0"/>
        <w:autoSpaceDE w:val="0"/>
        <w:autoSpaceDN w:val="0"/>
        <w:adjustRightInd w:val="0"/>
        <w:jc w:val="both"/>
        <w:rPr>
          <w:rFonts w:ascii="Times New Roman" w:hAnsi="Times New Roman" w:cs="Times New Roman"/>
          <w:color w:val="030303"/>
          <w:sz w:val="24"/>
          <w:szCs w:val="24"/>
          <w:shd w:val="clear" w:color="auto" w:fill="FFFFFF"/>
        </w:rPr>
      </w:pPr>
      <w:r w:rsidRPr="000D698C">
        <w:rPr>
          <w:rFonts w:ascii="Times New Roman" w:hAnsi="Times New Roman" w:cs="Times New Roman"/>
          <w:color w:val="030303"/>
          <w:sz w:val="24"/>
          <w:szCs w:val="24"/>
          <w:shd w:val="clear" w:color="auto" w:fill="FFFFFF"/>
        </w:rPr>
        <w:tab/>
        <w:t>Kewirausahaan memang beragam, mencakup dimensi ekonomi, sosial, dan spiritual yang berdampak baik pada individu maupun komunitas. Literatur menyoroti signifikansi spiritual dari kewirausahaan, menghubungkannya dengan otonomi, tanggung jawab, dan iman dalam kehadiran Tuhan.</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{"citationItems":[{"id":"ITEM-1","itemData":{"DOI":"10.60130/ja.v2i1.89","abstract":"Enterpreneurship is well kown all over the world only because it reflects perfectly an autonomy and freedom of man. Enterpreneurhip has been socially defined as way of self-responsibility and theologically is defined as an expression of a human self-trencendence, and psychologically is realized as way of being smart in relation to the others very much linked to the basic human rights.The article is a lengthydiscource about man's creativity to deal with social and psychological, ecological, and political environment as part of being faithfull to God's mandate about their being in the world. There are five theological reflections about ENTREPRENEURSHIP:Enterpreneurship is a way of participating in God's work of creation; -Enterpreneurship is an expression of man's responsibility to the world according to God's mandate;-Enterpreneurhip is an expression of man's faith to God's presence; Enterpreneurship creates people around the world as “men of God\", - Enterpreneurship is surely a divine vocation as \"homo faber\".","author":[{"dropping-particle":"","family":"Bandur","given":"Hironimus","non-dropping-particle":"","parse-names":false,"suffix":""}],"container-title":"Jurnal ALternatif Wacana Ilmiah Interkultural","id":"ITEM-1","issued":{"date-parts":[["2023"]]},"note":"Insights: - Kewirausahaan mengintegrasikan dimensi ekonomi, sosial, dan spiritual untuk pemberdayaan.\n- Pendidikan kewirausahaan meningkatkan sikap, keterampilan, fleksibilitas, kepemimpinan, dan inisiatif.","title":"Entrepreneurship Menuju Agen Pastoral Yang Berkarakter Inovatif, Kreatif dan Mandiri","type":"article-journal","volume":"Vol. 2 No."},"uris":["http://www.mendeley.com/documents/?uuid=8b922af2-7f54-47c8-97b2-e9527a8a1323"]}],"mendeley":{"formattedCitation":"(Bandur, 2023)","plainTextFormattedCitation":"(Bandur, 2023)","previouslyFormattedCitation":"(Bandur, 2023)"},"properties":{"noteIndex":0},"schema":"https://github.com/citation-style-language/schema/raw/master/csl-citation.json"}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(Bandur, 2023)</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Selain itu, penelitian menekankan peran kecerdasan spiritual dalam kewirausahaan, menunjukkan pengaruhnya terhadap hasil kewirausahaan dan perlunya penelitian lebih lanjut di bidang ini. Pendidikan kewirausahaan sangat penting dalam menumbuhkan sikap dan keterampilan kewirausahaan, dengan spiritualitas diakui sebagai faktor yang meningkatkan niat kewirausahaan di kalangan mahasiswa.</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{"citationItems":[{"id":"ITEM-1","itemData":{"DOI":"10.38159/ehass.2022SP3117","ISSN":"2720-7722","abstract":"Entrepreneurship education affords people with skills that display the characteristics of risk-taking, being involved in making informed decisions, creativity and innovation. Entrepreneurship education can provide teaching approaches to changing problems into business opportunities to assist the university community in addressing graduate employability. In addition, it can provide post-COVID-19 pandemic solutions to their start-ups or existing businesses. The paper explores the role of entrepreneurship education in Higher Education Institutions by discussing the effective and sustainable teaching methods that can be used in entrepreneurship teaching, employing a qualitative thematic review methodology. The entrepreneurship ecosystem can be key when higher education institutions are engaged in the transformation process of offering entrepreneurship education to their community. This paper explores the following themes: entrepreneurial education needs in entrepreneurial institutions, stakeholders involved in the provision of entrepreneurship education, and a sustainable business model as a product of entrepreneurship education. The present paper recommends that universities adopt a participatory approach to teaching and learning entrepreneurship as this can play a crucial role in building their structures to be economically active. Furthermore, it addresses graduate unemployment; provides recovery strategies to reboot businesses in communities, especially after the COVID-19 pandemic; and how to position themselves as entrepreneurial institutions. Keywords: Entrepreneurship education, Sustainability, Transformation, Graduate unemployment","author":[{"dropping-particle":"","family":"Ncanywa","given":"Thobeka","non-dropping-particle":"","parse-names":false,"suffix":""},{"dropping-particle":"","family":"Dyantyi","given":"Noluntu","non-dropping-particle":"","parse-names":false,"suffix":""}],"container-title":"E-Journal of Humanities, Arts and Social Sciences","id":"ITEM-1","issued":{"date-parts":[["2022","10","28"]]},"note":"Insights: - Pendidikan kewirausahaan meningkatkan sikap dan keterampilan kewirausahaan untuk fleksibilitas dan kepemimpinan.\n- Inisiatif RUDSETI menjembatani kesenjangan pengangguran melalui program pelatihan dan penciptaan lapangan kerja.","page":"75-89","title":"The Role of Entrepreneurship Education in Higher Education Institutions","type":"article-journal"},"uris":["http://www.mendeley.com/documents/?uuid=b4fd656b-2d58-4bf1-9a88-8275a755bacd"]},{"id":"ITEM-2","itemData":{"DOI":"10.3389/feduc.2022.977089","abstract":"Spirituality is now becoming popular because of the physical and mental advantages it brings to entrepreneurship. Regardless of its more philosophical measurement, changes owing to spirituality have been distinguished in people’s mental and standards of conduct. This investigation aims to examine the qualities related to university students, looking to explicitly comprehend the separate individual qualities or the psychological and cognitive inclinations. Tested on a sample of 300 students, Structural Equation Modeling results exhibit that those who participate in spiritual rituals tend to reinforce the mental and psychological credits connected with an entrepreneurial intention. Since entrepreneurial behavior is a priority to boost economic growth, spirituality should be coordinated as a mandatory subject in general instruction from primary school onward. The results of this exploration could be a model for the Indonesian government as they attempt to search for the best model for Entrepreneurship Education Program (EEP).","author":[{"dropping-particle":"","family":"Hadi","given":"Sutarto","non-dropping-particle":"","parse-names":false,"suffix":""},{"dropping-particle":"","family":"Abbas","given":"Ersis Warmansyah","non-dropping-particle":"","parse-names":false,"suffix":""},{"dropping-particle":"","family":"Rajiani","given":"Ismi","non-dropping-particle":"","parse-names":false,"suffix":""}],"container-title":"Frontiers in Education","id":"ITEM-2","issued":{"date-parts":[["2022"]]},"note":"Insights: - Spiritualitas meningkatkan niat dan perilaku kewirausahaan pada siswa.\n- Pendidikan kewirausahaan harus mencakup spiritualitas untuk meningkatkan keterampilan kewirausahaan.","title":"Should spirituality be included in entrepreneurship education program curriculum to boost students’ entrepreneurial intention?","type":"article-journal","volume":"7"},"uris":["http://www.mendeley.com/documents/?uuid=15e4d0c2-2316-43d1-b5fb-42432d5f8418"]}],"mendeley":{"formattedCitation":"(Hadi et al., 2022; Ncanywa &amp; Dyantyi, 2022)","plainTextFormattedCitation":"(Hadi et al., 2022; Ncanywa &amp; Dyantyi, 2022)","previouslyFormattedCitation":"(Hadi et al., 2022; Ncanywa &amp; Dyantyi, 2022)"},"properties":{"noteIndex":0},"schema":"https://github.com/citation-style-language/schema/raw/master/csl-citation.json"}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(Hadi et al., 2022; Ncanywa &amp; Dyantyi, 2022)</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Terdapat juga hubungan antara agama dan kewirausahaan yang perlu  dieksplorasi</w:t>
      </w:r>
      <w:r w:rsidRPr="00FB2F8A">
        <w:rPr>
          <w:rFonts w:ascii="Times New Roman" w:hAnsi="Times New Roman" w:cs="Times New Roman"/>
          <w:color w:val="030303"/>
          <w:sz w:val="24"/>
          <w:szCs w:val="24"/>
          <w:shd w:val="clear" w:color="auto" w:fill="FFFFFF"/>
        </w:rPr>
        <w:t xml:space="preserve"> melalui Matius 25:14-30</w:t>
      </w:r>
      <w:r w:rsidRPr="000D698C">
        <w:rPr>
          <w:rFonts w:ascii="Times New Roman" w:hAnsi="Times New Roman" w:cs="Times New Roman"/>
          <w:color w:val="030303"/>
          <w:sz w:val="24"/>
          <w:szCs w:val="24"/>
          <w:shd w:val="clear" w:color="auto" w:fill="FFFFFF"/>
        </w:rPr>
        <w:t xml:space="preserve"> untuk menjelaskan bagaimana lingkungan kelembagaan mempengaruhi perilaku kewirausahaan, sekaligus  menawarkan model konseptual untuk penelitian masa depan.</w:t>
      </w:r>
      <w:r w:rsidRPr="000D698C">
        <w:rPr>
          <w:rFonts w:ascii="Times New Roman" w:hAnsi="Times New Roman" w:cs="Times New Roman"/>
          <w:color w:val="030303"/>
          <w:sz w:val="24"/>
          <w:szCs w:val="24"/>
          <w:bdr w:val="single" w:sz="2" w:space="0" w:color="E4E6E8" w:frame="1"/>
          <w:shd w:val="clear" w:color="auto" w:fill="FFFFFF"/>
          <w:vertAlign w:val="superscript"/>
        </w:rPr>
        <w:t>5</w:t>
      </w:r>
      <w:r w:rsidRPr="000D698C">
        <w:rPr>
          <w:rFonts w:ascii="Times New Roman" w:hAnsi="Times New Roman" w:cs="Times New Roman"/>
          <w:color w:val="030303"/>
          <w:sz w:val="24"/>
          <w:szCs w:val="24"/>
          <w:shd w:val="clear" w:color="auto" w:fill="FFFFFF"/>
        </w:rPr>
        <w:t xml:space="preserve"> Secara keseluruhan, kewirausahaan tidak hanya mendorong pertumbuhan ekonomi tetapi juga berkontribusi pada pemberdayaan individu, pengembangan masyarakat, dan penanaman etos kerja yang kuat melalui penguatan  spiritual dan pendidikan.</w:t>
      </w:r>
      <w:r w:rsidRPr="000D698C">
        <w:rPr>
          <w:rFonts w:ascii="Times New Roman" w:hAnsi="Times New Roman" w:cs="Times New Roman"/>
          <w:sz w:val="24"/>
          <w:szCs w:val="24"/>
        </w:rPr>
        <w:t xml:space="preserve">. </w:t>
      </w:r>
    </w:p>
    <w:p w14:paraId="6A5E97C1" w14:textId="77777777" w:rsidR="002C3752" w:rsidRPr="000D698C" w:rsidRDefault="002C3752" w:rsidP="002C3752">
      <w:pPr>
        <w:ind w:right="-1"/>
        <w:jc w:val="both"/>
        <w:rPr>
          <w:rFonts w:ascii="Times New Roman" w:hAnsi="Times New Roman" w:cs="Times New Roman"/>
          <w:sz w:val="24"/>
          <w:szCs w:val="24"/>
        </w:rPr>
      </w:pPr>
      <w:r w:rsidRPr="000D698C">
        <w:rPr>
          <w:rFonts w:ascii="Times New Roman" w:hAnsi="Times New Roman" w:cs="Times New Roman"/>
          <w:sz w:val="24"/>
          <w:szCs w:val="24"/>
        </w:rPr>
        <w:lastRenderedPageBreak/>
        <w:tab/>
      </w:r>
      <w:r w:rsidRPr="000D698C">
        <w:rPr>
          <w:rFonts w:ascii="Times New Roman" w:hAnsi="Times New Roman" w:cs="Times New Roman"/>
          <w:sz w:val="24"/>
          <w:szCs w:val="24"/>
        </w:rPr>
        <w:tab/>
      </w:r>
    </w:p>
    <w:p w14:paraId="49F0A7EC"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r w:rsidRPr="000D698C">
        <w:rPr>
          <w:rFonts w:ascii="Times New Roman" w:hAnsi="Times New Roman" w:cs="Times New Roman"/>
          <w:sz w:val="24"/>
          <w:szCs w:val="24"/>
        </w:rPr>
        <w:tab/>
      </w:r>
      <w:r w:rsidRPr="000D698C">
        <w:rPr>
          <w:rFonts w:ascii="Times New Roman" w:hAnsi="Times New Roman" w:cs="Times New Roman"/>
          <w:color w:val="030303"/>
          <w:sz w:val="24"/>
          <w:szCs w:val="24"/>
          <w:shd w:val="clear" w:color="auto" w:fill="FFFFFF"/>
        </w:rPr>
        <w:t xml:space="preserve">Penelitian </w:t>
      </w:r>
      <w:r>
        <w:rPr>
          <w:rFonts w:ascii="Times New Roman" w:hAnsi="Times New Roman" w:cs="Times New Roman"/>
          <w:color w:val="030303"/>
          <w:sz w:val="24"/>
          <w:szCs w:val="24"/>
          <w:shd w:val="clear" w:color="auto" w:fill="FFFFFF"/>
        </w:rPr>
        <w:t xml:space="preserve">ini </w:t>
      </w:r>
      <w:r w:rsidRPr="000D698C">
        <w:rPr>
          <w:rFonts w:ascii="Times New Roman" w:hAnsi="Times New Roman" w:cs="Times New Roman"/>
          <w:color w:val="030303"/>
          <w:sz w:val="24"/>
          <w:szCs w:val="24"/>
          <w:shd w:val="clear" w:color="auto" w:fill="FFFFFF"/>
        </w:rPr>
        <w:t>memperkuat adanya peran religiusitas d</w:t>
      </w:r>
      <w:r>
        <w:rPr>
          <w:rFonts w:ascii="Times New Roman" w:hAnsi="Times New Roman" w:cs="Times New Roman"/>
          <w:color w:val="030303"/>
          <w:sz w:val="24"/>
          <w:szCs w:val="24"/>
          <w:shd w:val="clear" w:color="auto" w:fill="FFFFFF"/>
        </w:rPr>
        <w:t>alam</w:t>
      </w:r>
      <w:r w:rsidRPr="000D698C">
        <w:rPr>
          <w:rFonts w:ascii="Times New Roman" w:hAnsi="Times New Roman" w:cs="Times New Roman"/>
          <w:color w:val="030303"/>
          <w:sz w:val="24"/>
          <w:szCs w:val="24"/>
          <w:shd w:val="clear" w:color="auto" w:fill="FFFFFF"/>
        </w:rPr>
        <w:t xml:space="preserve"> wirausaha</w:t>
      </w:r>
      <w:r>
        <w:rPr>
          <w:rFonts w:ascii="Times New Roman" w:hAnsi="Times New Roman" w:cs="Times New Roman"/>
          <w:color w:val="030303"/>
          <w:sz w:val="24"/>
          <w:szCs w:val="24"/>
          <w:shd w:val="clear" w:color="auto" w:fill="FFFFFF"/>
        </w:rPr>
        <w:t xml:space="preserve"> kaum religius</w:t>
      </w:r>
      <w:r w:rsidRPr="000D698C">
        <w:rPr>
          <w:rFonts w:ascii="Times New Roman" w:hAnsi="Times New Roman" w:cs="Times New Roman"/>
          <w:color w:val="030303"/>
          <w:sz w:val="24"/>
          <w:szCs w:val="24"/>
          <w:shd w:val="clear" w:color="auto" w:fill="FFFFFF"/>
        </w:rPr>
        <w:t>, terutama dalam kewirausahaan sosia</w:t>
      </w:r>
      <w:r>
        <w:rPr>
          <w:rFonts w:ascii="Times New Roman" w:hAnsi="Times New Roman" w:cs="Times New Roman"/>
          <w:color w:val="030303"/>
          <w:sz w:val="24"/>
          <w:szCs w:val="24"/>
          <w:shd w:val="clear" w:color="auto" w:fill="FFFFFF"/>
        </w:rPr>
        <w:t xml:space="preserve">l, khususnya penekanan terhadap </w:t>
      </w:r>
      <w:r w:rsidRPr="000D698C">
        <w:rPr>
          <w:rFonts w:ascii="Times New Roman" w:hAnsi="Times New Roman" w:cs="Times New Roman"/>
          <w:color w:val="030303"/>
          <w:sz w:val="24"/>
          <w:szCs w:val="24"/>
          <w:shd w:val="clear" w:color="auto" w:fill="FFFFFF"/>
        </w:rPr>
        <w:t>potensi komunitas agama untuk mempromosikan kewirausahaan secara efektif</w:t>
      </w:r>
      <w:r>
        <w:rPr>
          <w:rFonts w:ascii="Times New Roman" w:hAnsi="Times New Roman" w:cs="Times New Roman"/>
          <w:color w:val="030303"/>
          <w:sz w:val="24"/>
          <w:szCs w:val="24"/>
          <w:shd w:val="clear" w:color="auto" w:fill="FFFFFF"/>
        </w:rPr>
        <w:t xml:space="preserve"> </w:t>
      </w:r>
      <w:r>
        <w:rPr>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{"citationItems":[{"id":"ITEM-1","itemData":{"DOI":"10.1108/ijssp-11-2022-0303","abstract":"PurposeThis study aims at analysing the influence of religiosity, entrepreneurial ecosystem (EES) and economic development (ED) on entrepreneurial behaviour across countries.Design/methodology/approachData from 54 countries on religiosity, entrepreneurial behaviour, EES and ED have been used for undertaking this research. Correlation, curve estimate and partial least squares structural equation modelling (PLS-SEM) have been utilised for analysing the relationship between the variables.FindingsFindings suggest a positive and significant correlation between religiosity, entrepreneurial intention (EI) and attitude towards entrepreneurship (ATE), and a negative and significant correlation between religiosity, EES, and ED. Similarly, the curve estimate indicates a positive and significant effect of religiosity on EI and attitude, and a negative and significant influence on EES and economic growth. Finally, the results of PLS-SEM show a significant and positive influence of religiosity on EI and ATE; no significant influence on the EES and an inverse influence on ED.Practical implicationsIt is evident from the analysis that religiosity has positive and significant impacts on EI and ATE, while having mixed implications for creation of a formal EES and bringing about ED. This implies that an increase in the level of religiosity in a country is more likely to enhance EI due to the creation of strong informal social networks.Originality/valueThe unique findings of this study would be useful for promoting entrepreneurship, EES and ED based on insights into the level of religiosity of a country.","author":[{"dropping-particle":"","family":"Ali","given":"Jabir Abdullahi","non-dropping-particle":"","parse-names":false,"suffix":""}],"container-title":"International Journal of Sociology and Social Policy","id":"ITEM-1","issued":{"date-parts":[["2023"]]},"note":"Insights: - Hubungan positif antara religiusitas dan niat wirausaha.\n- Modal spiritual dapat berdampak positif pada kinerja bisnis.","title":"Does religiosity affect entrepreneurial intention across countries?","type":"article-journal"},"uris":["http://www.mendeley.com/documents/?uuid=4c882844-9855-4d13-b02f-481e60cecd79"]},{"id":"ITEM-2","itemData":{"DOI":"10.1108/jiabr-02-2022-0056","abstract":" Purpose This study aims to investigate religiosity and entrepreneurial motivation roles in the goal-specific, involving Muslim students’ entrepreneurial intention and self-efficacy. Besides, it examines the robustness model based on group context.   Design/methodology/approach Partial least square structural equation modelling is employed to examine 502 data collected from Muslim students in Indonesia through an online survey. Meanwhile, partial least square multigroup analysis tests the robustness model.   Findings Religiosity plays a powerful role in increasing goal-specificity. Meanwhile, entrepreneurial motivation and self-efficacy perform as full mediations in the pathway mechanism of religiosity's effect on entrepreneurial intention.   Research limitations/implications The current study is conducted based on the previous recommendations and contradictions. Therefore, it clarifies and develops a study on the role of religiosity and entrepreneurial motivation in the goal-specific motivation of Muslim students.   Practical implications To increase the goal-specificity of entrepreneurship activities, policymakers in the ministry of education and universities must implement and revitalize Muslim students' understanding of the relationship between religiosity and entrepreneurship.   Originality/value This study defines the role of religiosity in goal-specific, especially Muslim students’ entrepreneurial intentions, by gender, faculty/department and age. Furthermore, it completes the opportunity for research agendas on the relationship between religiosity, entrepreneurial motivation, self-efficacy and entrepreneurial intention. ","author":[{"dropping-particle":"","family":"Siswanto","given":"","non-dropping-particle":"","parse-names":false,"suffix":""}],"container-title":"Journal of Islamic Accounting and Business Research","id":"ITEM-2","issued":{"date-parts":[["2023"]]},"note":"Insights: - Religiusitas secara positif mempengaruhi niat kewirausahaan, terutama dalam kewirausahaan sosial.\n- Modal spiritual dapat berdampak positif pada kinerja bisnis dengan efek sederhana.","title":"Religiosity and entrepreneurial motivation roles in the goal-specific relation: a case of Muslim students in Indonesia","type":"article-journal"},"uris":["http://www.mendeley.com/documents/?uuid=08dc7677-16c9-43d7-ab76-ceaa1c29864d"]}],"mendeley":{"formattedCitation":"(Ali, 2023; Siswanto, 2023)","plainTextFormattedCitation":"(Ali, 2023; Siswanto, 2023)","previouslyFormattedCitation":"(Ali, 2023; Siswanto, 2023)"},"properties":{"noteIndex":0},"schema":"https://github.com/citation-style-language/schema/raw/master/csl-citation.json"}</w:instrText>
      </w:r>
      <w:r>
        <w:rPr>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(Ali, 2023; Siswanto, 2023)</w:t>
      </w:r>
      <w:r>
        <w:rPr>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w:t>
      </w:r>
      <w:r>
        <w:rPr>
          <w:rFonts w:ascii="Times New Roman" w:hAnsi="Times New Roman" w:cs="Times New Roman"/>
          <w:color w:val="030303"/>
          <w:sz w:val="24"/>
          <w:szCs w:val="24"/>
          <w:shd w:val="clear" w:color="auto" w:fill="FFFFFF"/>
        </w:rPr>
        <w:t xml:space="preserve">Demikian juga </w:t>
      </w:r>
      <w:r w:rsidRPr="000D698C">
        <w:rPr>
          <w:rFonts w:ascii="Times New Roman" w:hAnsi="Times New Roman" w:cs="Times New Roman"/>
          <w:color w:val="030303"/>
          <w:sz w:val="24"/>
          <w:szCs w:val="24"/>
          <w:shd w:val="clear" w:color="auto" w:fill="FFFFFF"/>
        </w:rPr>
        <w:t xml:space="preserve"> modal spiritual dapat berdampak positif pada kinerja bisnis dengan efek sederhana, peran sikap religius dalam kinerja kewirausahaan tetap menjadi subjek untuk eksplorasi lebih lanjut, terutama mengenai agama yang berbeda.</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{"citationItems":[{"id":"ITEM-1","itemData":{"DOI":"10.1080/08276331.2023.2182599","abstract":"This study aims to expand knowledge on the nexus between religious attitudes and entrepreneurship performance. Using an international sample of 1,162 European youth entrepreneurs collected in 2016 in eleven countries, we test the increasing effect of spiritual capital on business performance and its heterogeneity across religions. The results from the multivariate regression analyses show only modest effects of religious attitudes on youth entrepreneurship performance, measured by employment creation, the number of employees, income decile and perceived business growth. Still, we observe some heterogeneous effects concerning Roman Catholic, Jewish, Islamic and Hindu churches on some of the analysed variables. Despite the perceived limitations, we provide recommendations for future research, pointing out the need to further explore different types of religions concerning the entrepreneur’s performance, innovative behaviour and personal well-being. ","author":[{"dropping-particle":"","family":"Dvouletý","given":"Ondřej","non-dropping-particle":"","parse-names":false,"suffix":""}],"container-title":"Journal of small business and entrepreneurship","id":"ITEM-1","issued":{"date-parts":[["2023"]]},"note":"Insights: - Hubungan positif antara religiusitas dan niat wirausaha.\n- Modal spiritual dapat berdampak positif pada kinerja bisnis dengan efek sederhana.","page":"1-19","title":"Religion attitudes and youth entrepreneurship performance","type":"article-journal"},"uris":["http://www.mendeley.com/documents/?uuid=53c7a12b-94b9-4c18-a2c5-76ece53d0dde"]}],"mendeley":{"formattedCitation":"(Dvouletý, 2023)","plainTextFormattedCitation":"(Dvouletý, 2023)","previouslyFormattedCitation":"(Dvouletý,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(Dvouletý,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0D698C">
        <w:rPr>
          <w:rFonts w:ascii="Times New Roman" w:hAnsi="Times New Roman" w:cs="Times New Roman"/>
          <w:color w:val="030303"/>
          <w:sz w:val="24"/>
          <w:szCs w:val="24"/>
          <w:shd w:val="clear" w:color="auto" w:fill="FFFFFF"/>
        </w:rPr>
        <w:t xml:space="preserve"> Selain itu, pendiri gereja dipandang sebagai pengusaha, menghadapi tantangan serupa dalam mendirikan jemaat, menekankan sifat kewirausahaan dalam konteks agama.</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{"citationItems":[{"id":"ITEM-1","itemData":{"DOI":"10.1016/j.jbusres.2022.113528","abstract":"This study uses Self-Determination Theory (SDT) to explore religiosity’s impact on social entrepreneurial intentions. We argue that self-efficacy and self-construal moderate the relationship between religiosity and social entrepreneurial intentions, as well as traditional entrepreneurship intensions. This study uses structural equation modeling with a sample of 563 business administration students at a large public university in Ghana. Results indicate a significant relationship between religiosity and the intent to participate in social entrepreneurship, but no relationship between religiosity and traditional entrepreneurship intentions. Additionally, results show significant relationships between religiosity and both self-efficacy and interdependent self-construal. Finally, we found that self-efficacy and interdependent self-construal moderated the relationship between religiosity and social entrepreneurial intent, as well as between religiosity and traditional entrepreneurial intentions. ","author":[{"dropping-particle":"","family":"McIntyre","given":"Nancy Chee Fun","non-dropping-particle":"","parse-names":false,"suffix":""},{"dropping-particle":"","family":"Quaye","given":"Emmanuel Silva","non-dropping-particle":"","parse-names":false,"suffix":""},{"dropping-particle":"","family":"Anning-Dorson","given":"Thomas","non-dropping-particle":"","parse-names":false,"suffix":""},{"dropping-particle":"","family":"Lanivich","given":"Stephen E","non-dropping-particle":"","parse-names":false,"suffix":""},{"dropping-particle":"","family":"Adomako","given":"Samuel","non-dropping-particle":"","parse-names":false,"suffix":""}],"container-title":"Journal of business research","id":"ITEM-1","issued":{"date-parts":[["2023"]]},"note":"Insights: - Religiusitas secara positif mempengaruhi niat kewirausahaan sosial, bukan kewirausahaan tradisional.\n- Efikasi diri dan konstruksi diri memoderasi hubungan antara religiusitas dan niat.","page":"113528","title":"Investigating the impact of religiosity on entrepreneurial intentions","type":"article-journal","volume":"156"},"uris":["http://www.mendeley.com/documents/?uuid=468d2506-f2c1-435e-8dc9-0d8ba56c44d5"]}],"mendeley":{"formattedCitation":"(McIntyre et al., 2023)","plainTextFormattedCitation":"(McIntyre et al., 2023)","previouslyFormattedCitation":"(McIntyre et al., 2023)"},"properties":{"noteIndex":0},"schema":"https://github.com/citation-style-language/schema/raw/master/csl-citation.json"}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(McIntyre et al., 2023)</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w:t>
      </w:r>
      <w:r>
        <w:rPr>
          <w:rFonts w:ascii="Times New Roman" w:hAnsi="Times New Roman" w:cs="Times New Roman"/>
          <w:color w:val="030303"/>
          <w:sz w:val="24"/>
          <w:szCs w:val="24"/>
          <w:shd w:val="clear" w:color="auto" w:fill="FFFFFF"/>
        </w:rPr>
        <w:t>Pemahaman akan</w:t>
      </w:r>
      <w:r w:rsidRPr="000D698C">
        <w:rPr>
          <w:rFonts w:ascii="Times New Roman" w:hAnsi="Times New Roman" w:cs="Times New Roman"/>
          <w:color w:val="030303"/>
          <w:sz w:val="24"/>
          <w:szCs w:val="24"/>
          <w:shd w:val="clear" w:color="auto" w:fill="FFFFFF"/>
        </w:rPr>
        <w:t xml:space="preserve"> religiusitas</w:t>
      </w:r>
      <w:r>
        <w:rPr>
          <w:rFonts w:ascii="Times New Roman" w:hAnsi="Times New Roman" w:cs="Times New Roman"/>
          <w:color w:val="030303"/>
          <w:sz w:val="24"/>
          <w:szCs w:val="24"/>
          <w:shd w:val="clear" w:color="auto" w:fill="FFFFFF"/>
        </w:rPr>
        <w:t xml:space="preserve"> dapat </w:t>
      </w:r>
      <w:r w:rsidRPr="000D698C">
        <w:rPr>
          <w:rFonts w:ascii="Times New Roman" w:hAnsi="Times New Roman" w:cs="Times New Roman"/>
          <w:color w:val="030303"/>
          <w:sz w:val="24"/>
          <w:szCs w:val="24"/>
          <w:shd w:val="clear" w:color="auto" w:fill="FFFFFF"/>
        </w:rPr>
        <w:t xml:space="preserve"> mempengaruhi bisnis keluarga</w:t>
      </w:r>
      <w:r>
        <w:rPr>
          <w:rFonts w:ascii="Times New Roman" w:hAnsi="Times New Roman" w:cs="Times New Roman"/>
          <w:color w:val="030303"/>
          <w:sz w:val="24"/>
          <w:szCs w:val="24"/>
          <w:shd w:val="clear" w:color="auto" w:fill="FFFFFF"/>
          <w:lang w:val="en-US"/>
        </w:rPr>
        <w:t>.</w:t>
      </w:r>
      <w:r w:rsidRPr="000D698C">
        <w:rPr>
          <w:rFonts w:ascii="Times New Roman" w:hAnsi="Times New Roman" w:cs="Times New Roman"/>
          <w:color w:val="030303"/>
          <w:sz w:val="24"/>
          <w:szCs w:val="24"/>
          <w:shd w:val="clear" w:color="auto" w:fill="FFFFFF"/>
        </w:rPr>
        <w:t> Dengan mengintegrasikan pengetahuan kewirausahaan dengan ajaran agama, individu dalam komunitas agama dapat diberdayakan untuk terlibat dalam kewirausahaan secara efektif, memanfaatkan keyakinan mereka untuk menavigasi tantangan dan mendorong kesuksesan bisnis yang efektif.</w:t>
      </w:r>
    </w:p>
    <w:p w14:paraId="3066ED4A"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r w:rsidRPr="000D698C">
        <w:rPr>
          <w:rFonts w:ascii="Times New Roman" w:hAnsi="Times New Roman" w:cs="Times New Roman"/>
          <w:color w:val="030303"/>
          <w:sz w:val="24"/>
          <w:szCs w:val="24"/>
          <w:shd w:val="clear" w:color="auto" w:fill="FFFFFF"/>
        </w:rPr>
        <w:tab/>
        <w:t>Suatu riset kepada para pengusaha muda Eropa di sebelas negara mengungkapkan efek  agama pada kinerja kewirausahaan sangat sederhana saja.</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{"citationItems":[{"id":"ITEM-1","itemData":{"DOI":"10.1108/ijoa-12-2022-3520","abstract":" Purpose This study aims to address decision-making processes of Christian entrepreneurs living and working in rural areas. The authors draw on the institutional logics perspective and stewardship perspective to demonstrate how religion influences rationality and entrepreneurial decision-making processes in a rural context.   Design/methodology/approach This study adopts a qualitative interpretive approach supported by ethnographic fieldwork. Qualitative and interpretative analyses are used to access deeper insights into the decision-making processes of Christian entrepreneurs in a rural environment. Data include short-term immersive events, observations and interviews as COVID-19 pandemic restrictions lifted in the region.   Findings This study reveals that normative (religious) commitments – a sense of moral duty and action influenced by religion – and a high-religiosity context – where religion permeates diverse aspects of life – lead to behaviors that are perceived as rational and normative. In this context, the normative relationship between a market and a community logic, alongside a logic of religion, are all linked through a stewardship perspective. A broad focus on the development of community and place also safeguards business and community interests.   Research limitations/implications Since the findings are based on one rural area and one religion, future studies should address a broader range of geographical areas and religions. In this study, uncertainty arising from COVID-19 pandemic restrictions and the resumption of business exchanges also influence the decision-making processes of the entrepreneurial participants. While the findings reflect the normative dispositions and the decision-making processes that are inherent in this context, an even broader examination of rural entrepreneurship will benefit our understanding of entrepreneurial decisions in terms of rationality and place.   Practical implications The findings reveal that entrepreneurs who relocate to a rural, high-religiosity context should first assess how the community affiliated through a set of beliefs – expects actors to behave. Additionally, applicability to other religions requires further consideration.   Originality/value This study answers the call to examine entrepreneurship and the underpinnings of rationality that challenge mainstream debates on entrepreneurial decision-making and religion. The findings answer this call by advancing the knowledge of the decision-m…","author":[{"dropping-particle":"","family":"Junqueira","given":"M I Cavalcanti","non-dropping-particle":"","parse-names":false,"suffix":""},{"dropping-particle":"","family":"Cruz","given":"Allan Discua","non-dropping-particle":"","parse-names":false,"suffix":""},{"dropping-particle":"","family":"Gratton","given":"Paul C","non-dropping-particle":"","parse-names":false,"suffix":""}],"container-title":"The international journal of organizational analysis","id":"ITEM-1","issued":{"date-parts":[["2023"]]},"note":"Insights: - Agama memiliki efek sederhana pada kinerja kewirausahaan.\n- Penilaian berfokus pada penguatan semangat kewirausahaan yang dipengaruhi oleh ajaran Kristen.","title":"Not by what we see: how Christian religious beliefs influence market and community logics in a rural context","type":"article-journal"},"uris":["http://www.mendeley.com/documents/?uuid=38a6b725-7a39-421f-91a7-21e64305918c"]}],"mendeley":{"formattedCitation":"(Junqueira et al., 2023)","plainTextFormattedCitation":"(Junqueira et al., 2023)","previouslyFormattedCitation":"(Junqueira et al.,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noProof/>
          <w:color w:val="030303"/>
          <w:sz w:val="24"/>
          <w:szCs w:val="24"/>
          <w:bdr w:val="single" w:sz="2" w:space="0" w:color="E4E6E8" w:frame="1"/>
          <w:shd w:val="clear" w:color="auto" w:fill="FFFFFF"/>
        </w:rPr>
        <w:t>(Junqueira et al.,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0D698C">
        <w:rPr>
          <w:rFonts w:ascii="Times New Roman" w:hAnsi="Times New Roman" w:cs="Times New Roman"/>
          <w:color w:val="030303"/>
          <w:sz w:val="24"/>
          <w:szCs w:val="24"/>
          <w:bdr w:val="single" w:sz="2" w:space="0" w:color="E4E6E8" w:frame="1"/>
          <w:shd w:val="clear" w:color="auto" w:fill="FFFFFF"/>
          <w:vertAlign w:val="superscript"/>
        </w:rPr>
        <w:t xml:space="preserve"> </w:t>
      </w:r>
      <w:r w:rsidRPr="000D698C">
        <w:rPr>
          <w:rFonts w:ascii="Times New Roman" w:hAnsi="Times New Roman" w:cs="Times New Roman"/>
          <w:color w:val="030303"/>
          <w:sz w:val="24"/>
          <w:szCs w:val="24"/>
          <w:shd w:val="clear" w:color="auto" w:fill="FFFFFF"/>
        </w:rPr>
        <w:t>Sebaliknya, sebuah studi tentang pengusaha Kristen di daerah pedesaan menyoroti pengaruh agama pada proses pengambilan keputusan, menekankan komitmen normatif dan konteks religiusitas tinggi yang membentuk perilaku rasional dan kepentingan masyarakat.</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{"citationItems":[{"id":"ITEM-1","itemData":{"DOI":"10.1080/08276331.2023.2182599","abstract":"This study aims to expand knowledge on the nexus between religious attitudes and entrepreneurship performance. Using an international sample of 1,162 European youth entrepreneurs collected in 2016 in eleven countries, we test the increasing effect of spiritual capital on business performance and its heterogeneity across religions. The results from the multivariate regression analyses show only modest effects of religious attitudes on youth entrepreneurship performance, measured by employment creation, the number of employees, income decile and perceived business growth. Still, we observe some heterogeneous effects concerning Roman Catholic, Jewish, Islamic and Hindu churches on some of the analysed variables. Despite the perceived limitations, we provide recommendations for future research, pointing out the need to further explore different types of religions concerning the entrepreneur’s performance, innovative behaviour and personal well-being. ","author":[{"dropping-particle":"","family":"Dvouletý","given":"Ondřej","non-dropping-particle":"","parse-names":false,"suffix":""}],"container-title":"Journal of small business and entrepreneurship","id":"ITEM-1","issued":{"date-parts":[["2023"]]},"note":"Insights: - Hubungan positif antara religiusitas dan niat wirausaha.\n- Modal spiritual dapat berdampak positif pada kinerja bisnis dengan efek sederhana.","page":"1-19","title":"Religion attitudes and youth entrepreneurship performance","type":"article-journal"},"uris":["http://www.mendeley.com/documents/?uuid=53c7a12b-94b9-4c18-a2c5-76ece53d0dde"]}],"mendeley":{"formattedCitation":"(Dvouletý, 2023)","plainTextFormattedCitation":"(Dvouletý, 2023)","previouslyFormattedCitation":"(Dvouletý,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noProof/>
          <w:color w:val="030303"/>
          <w:sz w:val="24"/>
          <w:szCs w:val="24"/>
          <w:bdr w:val="single" w:sz="2" w:space="0" w:color="E4E6E8" w:frame="1"/>
          <w:shd w:val="clear" w:color="auto" w:fill="FFFFFF"/>
        </w:rPr>
        <w:t>(Dvouletý,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0D698C">
        <w:rPr>
          <w:rFonts w:ascii="Times New Roman" w:hAnsi="Times New Roman" w:cs="Times New Roman"/>
          <w:color w:val="030303"/>
          <w:sz w:val="24"/>
          <w:szCs w:val="24"/>
          <w:shd w:val="clear" w:color="auto" w:fill="FFFFFF"/>
        </w:rPr>
        <w:t xml:space="preserve"> Oleh karena itu, berfokus pada penguatan semangat kewirausahaan kaum muda melalui ajaran yang dipengaruhi oleh prinsip-prinsip agama, seperti Kristus, berpotensi meningkatkan niat dan tindakan kewirausahaan mereka, selaras dengan temuan tentang dampak religiusitas pada perilaku kewirausahaan dan proses pengambilan keputusan.  Berbeda dalam riset ini, peniliti tidak berfokus pada  performa entrepreuner muda tapi kepada penguatan jiwa entrepreunership kaum muda sebagai dampak  adanya temuan prinsip bisnis yang diajarkan oleh Kristus.</w:t>
      </w:r>
    </w:p>
    <w:p w14:paraId="77AA0094"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p>
    <w:p w14:paraId="4FE51FA8" w14:textId="77777777" w:rsidR="002C3752" w:rsidRDefault="002C3752" w:rsidP="002C3752">
      <w:pPr>
        <w:ind w:right="-1"/>
        <w:jc w:val="both"/>
        <w:rPr>
          <w:rFonts w:ascii="Times New Roman" w:hAnsi="Times New Roman" w:cs="Times New Roman"/>
          <w:color w:val="030303"/>
          <w:sz w:val="24"/>
          <w:szCs w:val="24"/>
          <w:shd w:val="clear" w:color="auto" w:fill="FFFFFF"/>
        </w:rPr>
      </w:pPr>
      <w:r w:rsidRPr="000D698C">
        <w:rPr>
          <w:rFonts w:ascii="Times New Roman" w:hAnsi="Times New Roman" w:cs="Times New Roman"/>
          <w:color w:val="030303"/>
          <w:sz w:val="24"/>
          <w:szCs w:val="24"/>
          <w:shd w:val="clear" w:color="auto" w:fill="FFFFFF"/>
        </w:rPr>
        <w:tab/>
        <w:t>Kewirausahaan  membutuhkan dua modal penting untuk sukses: modal bisnis  (usaha) dan modal manusia (pengusaha). Modal bisnis, disebut juga modal usaha dalam bentuk finansial  seperti</w:t>
      </w:r>
      <w:r>
        <w:rPr>
          <w:rFonts w:ascii="Times New Roman" w:hAnsi="Times New Roman" w:cs="Times New Roman"/>
          <w:color w:val="030303"/>
          <w:sz w:val="24"/>
          <w:szCs w:val="24"/>
          <w:shd w:val="clear" w:color="auto" w:fill="FFFFFF"/>
        </w:rPr>
        <w:t xml:space="preserve"> yang dimiliki oleh sebagaian besar pebisnis </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{"citationItems":[{"id":"ITEM-1","itemData":{"DOI":"10.58291/ijmsa.v1i2.76","abstract":"Starting a business is not easy. Entrepreneurs face various kinds of difficulties in running their businesses. If difficulties cannot be overcome, it can worsen business performance and can even lead to bankruptcy. Entrepreneurs must be able to build a competitive advantage in their businesses. This can affect the sustainability of its business. Several factors influence business success. This study aims to analyze the effect of motivation, venture capital, entrepreneurial knowledge, and business networks on business success in the food and beverage business in Jakarta, Indonesia. The population of this study is all food and beverage business owners in Jakarta. The sample of this research is 100 food and beverage business owners in Jakarta. The technique of determining the sample using purposive sampling. Data collection was carried out using a google form questionnaire which was distributed online. Data were analyzed using the SmartPLS 3.0 application. The results of the study found that motivation, business capital, entrepreneurial knowledge, and business networks have a positive effect on business success. The results of this study are expected to contribute to the development of entrepreneurship and can provide input for entrepreneurs to achieve business success.","author":[{"dropping-particle":"","family":"Handoyo","given":"Sarwo Edy","non-dropping-particle":"","parse-names":false,"suffix":""}],"id":"ITEM-1","issued":{"date-parts":[["2023"]]},"note":"Insights: - Modal bisnis dan sumber daya manusia sangat penting untuk kesuksesan kewirausahaan.\n- Kemampuan manajemen keuangan penting untuk kesuksesan bisnis, terlepas dari modal.","title":"Influence of Motivation, Business Capital, Entrepreneurial Knowledge, and Business Networks on Business Success","type":"article-journal"},"uris":["http://www.mendeley.com/documents/?uuid=3a9e08f7-d90d-4d9f-b994-393759b90881"]}],"mendeley":{"formattedCitation":"(Handoyo, 2023)","plainTextFormattedCitation":"(Handoyo, 2023)","previouslyFormattedCitation":"(Handoyo, 2023)"},"properties":{"noteIndex":0},"schema":"https://github.com/citation-style-language/schema/raw/master/csl-citation.json"}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(Handoyo, 2023)</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sangat penting untuk investasi awal dan biaya operasional</w:t>
      </w:r>
      <w:r>
        <w:rPr>
          <w:rFonts w:ascii="Times New Roman" w:hAnsi="Times New Roman" w:cs="Times New Roman"/>
          <w:color w:val="030303"/>
          <w:sz w:val="24"/>
          <w:szCs w:val="24"/>
          <w:shd w:val="clear" w:color="auto" w:fill="FFFFFF"/>
        </w:rPr>
        <w:t>. Sedangkan</w:t>
      </w:r>
      <w:r w:rsidRPr="000D698C">
        <w:rPr>
          <w:rFonts w:ascii="Times New Roman" w:hAnsi="Times New Roman" w:cs="Times New Roman"/>
          <w:color w:val="030303"/>
          <w:sz w:val="24"/>
          <w:szCs w:val="24"/>
          <w:shd w:val="clear" w:color="auto" w:fill="FFFFFF"/>
        </w:rPr>
        <w:t xml:space="preserve"> modal pengusaha,</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{"citationItems":[{"id":"ITEM-1","itemData":{"DOI":"10.47175/rissj.v4i1.593","abstract":"Business capital is a very important element for small industries to build their business and increase their income and self-confidence is an important component in entrepreneurship. This paper aims to discuss the effect of business capital on entrepreneur success moderated by self-confidence. The population in this paper were all entrepreneurs in the Helvetia Tengah Sub-district, Medan City, totaling 121 entrepreneurs and the sample was the total population, namely 121 respondents. The data in this study consisted of primary data obtained through questionnaires while secondary data were obtained through the Helvetia Tengah Village Office, which were then processed and analyzed using simple regression analysis and MRA analysis. The results of the paper show that 1) venture capital influences entrepreneurial success, and 2) Business capital influences entrepreneurial success moderated by self-confidence.","author":[{"dropping-particle":"","family":"Tambunan","given":"Formaida","non-dropping-particle":"","parse-names":false,"suffix":""}],"container-title":"Randwick International of Social Science Journal","id":"ITEM-1","issue":"1","issued":{"date-parts":[["2023"]]},"note":"Insights: - Modal bisnis mempengaruhi kesuksesan wirausaha.\n- Kepercayaan diri memoderasi hubungan antara modal bisnis dan kesuksesan.","page":"74-79","title":"Effect of Business Capital on Entrepreneurship Success with Self-Confidence as Moderating Variable","type":"article-journal","volume":"4"},"uris":["http://www.mendeley.com/documents/?uuid=bc6bba15-cf95-4b09-86e0-7db698179a44"]}],"mendeley":{"formattedCitation":"(Tambunan, 2023)","plainTextFormattedCitation":"(Tambunan, 2023)","previouslyFormattedCitation":"(Tambunan,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C80FEE">
        <w:rPr>
          <w:rFonts w:ascii="Times New Roman" w:hAnsi="Times New Roman" w:cs="Times New Roman"/>
          <w:bCs/>
          <w:noProof/>
          <w:color w:val="030303"/>
          <w:sz w:val="24"/>
          <w:szCs w:val="24"/>
          <w:bdr w:val="single" w:sz="2" w:space="0" w:color="E4E6E8" w:frame="1"/>
          <w:shd w:val="clear" w:color="auto" w:fill="FFFFFF"/>
          <w:lang w:val="en-US"/>
        </w:rPr>
        <w:t>(Tambunan,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Pr>
          <w:rFonts w:ascii="Times New Roman" w:hAnsi="Times New Roman" w:cs="Times New Roman"/>
          <w:color w:val="030303"/>
          <w:sz w:val="24"/>
          <w:szCs w:val="24"/>
          <w:shd w:val="clear" w:color="auto" w:fill="FFFFFF"/>
        </w:rPr>
        <w:t>merupakan unsur-unsur yang</w:t>
      </w:r>
      <w:r w:rsidRPr="000D698C">
        <w:rPr>
          <w:rFonts w:ascii="Times New Roman" w:hAnsi="Times New Roman" w:cs="Times New Roman"/>
          <w:color w:val="030303"/>
          <w:sz w:val="24"/>
          <w:szCs w:val="24"/>
          <w:shd w:val="clear" w:color="auto" w:fill="FFFFFF"/>
        </w:rPr>
        <w:t xml:space="preserve"> mencakup keterampilan dan pengetahuan yang dimiliki oleh pengusaha</w:t>
      </w:r>
      <w:r>
        <w:rPr>
          <w:rFonts w:ascii="Times New Roman" w:hAnsi="Times New Roman" w:cs="Times New Roman"/>
          <w:color w:val="030303"/>
          <w:sz w:val="24"/>
          <w:szCs w:val="24"/>
          <w:shd w:val="clear" w:color="auto" w:fill="FFFFFF"/>
        </w:rPr>
        <w:t xml:space="preserve">. </w:t>
      </w:r>
    </w:p>
    <w:p w14:paraId="23FC4D78" w14:textId="77777777" w:rsidR="002C3752" w:rsidRPr="00A334E0" w:rsidRDefault="002C3752" w:rsidP="002C3752">
      <w:pPr>
        <w:jc w:val="both"/>
        <w:rPr>
          <w:rFonts w:ascii="Times New Roman" w:hAnsi="Times New Roman" w:cs="Times New Roman"/>
          <w:sz w:val="24"/>
          <w:szCs w:val="24"/>
        </w:rPr>
      </w:pPr>
      <w:r>
        <w:rPr>
          <w:rFonts w:ascii="Times New Roman" w:hAnsi="Times New Roman" w:cs="Times New Roman"/>
          <w:color w:val="030303"/>
          <w:sz w:val="24"/>
          <w:szCs w:val="24"/>
          <w:shd w:val="clear" w:color="auto" w:fill="FFFFFF"/>
        </w:rPr>
        <w:tab/>
        <w:t>Modal pengusaha yang dimaksud adalah modal Sumber daya Manusia seorang pengusaha</w:t>
      </w:r>
      <w:r w:rsidRPr="000D698C">
        <w:rPr>
          <w:rFonts w:ascii="Times New Roman" w:hAnsi="Times New Roman" w:cs="Times New Roman"/>
          <w:color w:val="030303"/>
          <w:sz w:val="24"/>
          <w:szCs w:val="24"/>
          <w:shd w:val="clear" w:color="auto" w:fill="FFFFFF"/>
        </w:rPr>
        <w:t xml:space="preserve"> m</w:t>
      </w:r>
      <w:r>
        <w:rPr>
          <w:rFonts w:ascii="Times New Roman" w:hAnsi="Times New Roman" w:cs="Times New Roman"/>
          <w:color w:val="030303"/>
          <w:sz w:val="24"/>
          <w:szCs w:val="24"/>
          <w:shd w:val="clear" w:color="auto" w:fill="FFFFFF"/>
        </w:rPr>
        <w:t>engatur</w:t>
      </w:r>
      <w:r w:rsidRPr="000D698C">
        <w:rPr>
          <w:rFonts w:ascii="Times New Roman" w:hAnsi="Times New Roman" w:cs="Times New Roman"/>
          <w:color w:val="030303"/>
          <w:sz w:val="24"/>
          <w:szCs w:val="24"/>
          <w:shd w:val="clear" w:color="auto" w:fill="FFFFFF"/>
        </w:rPr>
        <w:t xml:space="preserve"> keuangan yang efektif dan pengembangan bisnis</w:t>
      </w:r>
      <w:r>
        <w:rPr>
          <w:rFonts w:ascii="Times New Roman" w:hAnsi="Times New Roman" w:cs="Times New Roman"/>
          <w:color w:val="030303"/>
          <w:sz w:val="24"/>
          <w:szCs w:val="24"/>
          <w:shd w:val="clear" w:color="auto" w:fill="FFFFFF"/>
        </w:rPr>
        <w:t xml:space="preserve">. </w:t>
      </w:r>
      <w:r w:rsidRPr="000D698C">
        <w:rPr>
          <w:rFonts w:ascii="Times New Roman" w:hAnsi="Times New Roman" w:cs="Times New Roman"/>
          <w:color w:val="030303"/>
          <w:sz w:val="24"/>
          <w:szCs w:val="24"/>
          <w:shd w:val="clear" w:color="auto" w:fill="FFFFFF"/>
        </w:rPr>
        <w:t>Penelitian juga menunjukkan bahwa faktor-faktor seperti motivasi, pengetahuan kewirausahaan, dan jaringan bisnis memainkan peran penting dalam kesuksesan bisnis.</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{"citationItems":[{"id":"ITEM-1","itemData":{"DOI":"10.48047/pne.2018.55.1.55","abstract":"Funding Choices of Entrepreneurs in India encompass a multitude of variables that shape the decisions made by entrepreneurs in securing financial resources for their ventures. These factors include the availability and accessibility of formal financing options, such as loans and investment capital, as well as the challenges related to collateral requirements and the stringent criteria imposed by financial institutions. Limited awareness and understanding of financing alternatives among entrepreneurs also contribute to their funding choices. Moreover, the competitive landscape and market conditions exert a profound influence on funding decisions, with the presence of unanticipated competition, market volatility, and the need for rapid growth and innovation leading entrepreneurs to seek funding from unconventional sources or adopt bootstrapping strategies. Understanding these factors is crucial for entrepreneurs, policymakers, and financial institutions to develop initiatives that enhance the accessibility of formal financing, promote financial literacy and entrepreneurial education, and foster a supportive ecosystem for entrepreneurs to thrive. Financial institutions can tailor their offerings to meet the unique needs of entrepreneurs, while policymakers can implement measures to create an enabling environment for entrepreneurial finance. By comprehending these factors, stakeholders can effectively address the funding challenges faced by entrepreneurs in India and facilitate their entrepreneurial endeavors for sustainable economic growth and innovation.","author":[{"dropping-particle":"","family":"Pramatha Sah","given":"","non-dropping-particle":"","parse-names":false,"suffix":""}],"container-title":"PsychologyandEducation","id":"ITEM-1","issue":"1","issued":{"date-parts":[["2023","6","7"]]},"note":"Insights: - Modal bisnis untuk pengeluaran, modal manusia untuk manajemen keuangan.\n- Sukses mungkin dengan modal kecil dan keterampilan manajemen keuangan yang kuat.","title":"Factors Affecting Funding Choices of Entrepreneurs in India: An Analytical Study","type":"article-journal","volume":"55"},"uris":["http://www.mendeley.com/documents/?uuid=00aaa6a2-6237-4842-8059-1b8a723494c3"]}],"mendeley":{"formattedCitation":"(Pramatha Sah, 2023)","plainTextFormattedCitation":"(Pramatha Sah, 2023)","previouslyFormattedCitation":"(Pramatha Sah,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(Pramatha Sah,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Pr>
          <w:rFonts w:ascii="Times New Roman" w:hAnsi="Times New Roman" w:cs="Times New Roman"/>
          <w:color w:val="030303"/>
          <w:sz w:val="24"/>
          <w:szCs w:val="24"/>
          <w:shd w:val="clear" w:color="auto" w:fill="FFFFFF"/>
        </w:rPr>
        <w:t xml:space="preserve"> Meskipun</w:t>
      </w:r>
      <w:r w:rsidRPr="000D698C">
        <w:rPr>
          <w:rFonts w:ascii="Times New Roman" w:hAnsi="Times New Roman" w:cs="Times New Roman"/>
          <w:color w:val="030303"/>
          <w:sz w:val="24"/>
          <w:szCs w:val="24"/>
          <w:shd w:val="clear" w:color="auto" w:fill="FFFFFF"/>
        </w:rPr>
        <w:t xml:space="preserve"> modal keuangan sangat penting, pengusaha sukses dapat memanfaatkan sumber daya manusia mereka untuk mengatasi kendala keuangan, seperti yang terlihat dalam kasus di mana individu dengan modal terbatas mencapai kesuksesan melalui manajemen yang efektif dan pemanfaatan sumber daya.</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{"citationItems":[{"id":"ITEM-1","itemData":{"DOI":"10.1007/978-3-031-19554-9_15","abstract":"Restricted access to finance is often cited as one of the most prominent problems of innovative startups throughout their life cycle. Many entrepreneurial ventures, including big data startups, require external capital to realize their exponential growth and eventually achieve a successful exit in the form of an initial public offering (IPO) or an acquisition. Therefore, startup founders have to be fully aware of their funding options and potential added value that different types of investors may bring to the table. Funding decisions always include a number of strategic considerations, as investors do not only provide monetary funding. Quite to the contrary, startup investors fulfill various additional roles, including strategic advisors, network connectors, facilitators of human capital, and internal conflict resolution. Nonetheless, despite startup financing is definitely not a zero-sum game, agency problems and diverging incentives cloud the relationship between startup investors and entrepreneurs (Fried and Ganor, New York University Law Review 81:967–1025; 2006). This chapter provides an overview of different types of investors that provide financing for innovative (tech) startups, including their particular incentives in the startup investment process and the financial considerations. It follows the startup life cycle from its seed phase till exit.","author":[{"dropping-particle":"","family":"Lafarre","given":"Anne","non-dropping-particle":"","parse-names":false,"suffix":""},{"dropping-particle":"","family":"Schoonbrood","given":"Ivona","non-dropping-particle":"","parse-names":false,"suffix":""}],"id":"ITEM-1","issued":{"date-parts":[["2023"]]},"note":"Insights: - Pendiri startup membutuhkan modal keuangan dan manusia untuk sukses.\n- Pengusaha sukses dapat berkembang dengan sumber daya keuangan yang terbatas.","page":"353-380","title":"Entrepreneurial Finance","type":"chapter"},"uris":["http://www.mendeley.com/documents/?uuid=9bba851d-781c-49d9-8993-15dfae3898ac"]}],"mendeley":{"formattedCitation":"(Lafarre &amp; Schoonbrood, 2023)","plainTextFormattedCitation":"(Lafarre &amp; Schoonbrood, 2023)","previouslyFormattedCitation":"(Lafarre &amp; Schoonbrood,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noProof/>
          <w:color w:val="030303"/>
          <w:sz w:val="24"/>
          <w:szCs w:val="24"/>
          <w:bdr w:val="single" w:sz="2" w:space="0" w:color="E4E6E8" w:frame="1"/>
          <w:shd w:val="clear" w:color="auto" w:fill="FFFFFF"/>
        </w:rPr>
        <w:t>(Lafarre &amp; Schoonbrood,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0D698C">
        <w:rPr>
          <w:rFonts w:ascii="Times New Roman" w:hAnsi="Times New Roman" w:cs="Times New Roman"/>
          <w:color w:val="030303"/>
          <w:sz w:val="24"/>
          <w:szCs w:val="24"/>
          <w:shd w:val="clear" w:color="auto" w:fill="FFFFFF"/>
        </w:rPr>
        <w:t xml:space="preserve"> Ini menggarisbawahi saling ketergantungan bisnis dan sumber daya manusia dalam upaya kewirausahaan, sekaligus menunjukkan bahwa perpaduan ketajaman keuangan dan keterampilan kewirausahaan adalah kunci untuk menavigasi tantangan dan mencapai kesuksesan di dunia bisnis. Sehubungan dengan</w:t>
      </w:r>
      <w:r>
        <w:t xml:space="preserve"> </w:t>
      </w:r>
      <w:r w:rsidRPr="00A334E0">
        <w:rPr>
          <w:rFonts w:ascii="Times New Roman" w:hAnsi="Times New Roman" w:cs="Times New Roman"/>
          <w:sz w:val="24"/>
          <w:szCs w:val="24"/>
        </w:rPr>
        <w:t>memberdayakan Kewirausahaan Pemuda Gereja</w:t>
      </w:r>
      <w:r>
        <w:rPr>
          <w:rFonts w:ascii="Times New Roman" w:hAnsi="Times New Roman" w:cs="Times New Roman"/>
          <w:sz w:val="24"/>
          <w:szCs w:val="24"/>
          <w:lang w:val="en-US"/>
        </w:rPr>
        <w:t xml:space="preserve"> </w:t>
      </w:r>
      <w:r w:rsidRPr="000D698C">
        <w:rPr>
          <w:rFonts w:ascii="Times New Roman" w:hAnsi="Times New Roman" w:cs="Times New Roman"/>
          <w:color w:val="030303"/>
          <w:sz w:val="24"/>
          <w:szCs w:val="24"/>
          <w:shd w:val="clear" w:color="auto" w:fill="FFFFFF"/>
        </w:rPr>
        <w:t>maka perlu dibekali dengan berbagai ketrampilan melalui pelatihan dan seminar.</w:t>
      </w:r>
    </w:p>
    <w:p w14:paraId="2134BB7A"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p>
    <w:p w14:paraId="7F090AB6"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r w:rsidRPr="000D698C">
        <w:rPr>
          <w:rFonts w:ascii="Times New Roman" w:hAnsi="Times New Roman" w:cs="Times New Roman"/>
          <w:color w:val="030303"/>
          <w:sz w:val="24"/>
          <w:szCs w:val="24"/>
          <w:shd w:val="clear" w:color="auto" w:fill="FFFFFF"/>
        </w:rPr>
        <w:tab/>
        <w:t xml:space="preserve">Pengusaha membutuhkan peluang untuk kemitraan keuangan dan akuisisi modal, serta sikap etis untuk berhasil. Theopreneurship, sebuah konsep yang memadukan </w:t>
      </w:r>
      <w:r w:rsidRPr="000D698C">
        <w:rPr>
          <w:rFonts w:ascii="Times New Roman" w:hAnsi="Times New Roman" w:cs="Times New Roman"/>
          <w:color w:val="030303"/>
          <w:sz w:val="24"/>
          <w:szCs w:val="24"/>
          <w:shd w:val="clear" w:color="auto" w:fill="FFFFFF"/>
        </w:rPr>
        <w:lastRenderedPageBreak/>
        <w:t>kewirausahaan dengan mandat teologis, menekankan kemandirian finansial para perintis gereja melalui wirausaha dan bimbingan. Masalah etika dalam kewirausahaan, termasuk konflik kepentingan dan asimetri informasi, merupakan pertimbangan penting sepanjang siklus hidup usaha.</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{"citationItems":[{"id":"ITEM-1","itemData":{"DOI":"10.33991/epigraphe.v6i1.354","abstract":"Financial independence is very important to ensure the continuation of the ministry of a newly started church. The pastor's family's financial needs and church facilities can be supported by the way the servant of God is an entrepreneur. Theopreneurship contains a theological dimension, namely as a mandate given by God to pastors to manage the potential of themselves and their congregations, even though there are different views about whether a servant of God is an entrepreneur. This study uses the Literature Study method to explain the interests and efforts of a servant of God in entrepreneurship to support the financial independence of the pioneering church. The results of the study found that a servant of God who is starting a new church should be self-employed as a Theopreneur, who acts as a servant (doulus and huperetes) and steward (oikonomos) and also needs to teach, involve and mentor members of the congregation or community whom he serves for joint entrepreneurship so as to effectively achieve the financial independence of the pioneering church for the glory of the Kingdom of God.AbstrakKemandirian finansial sangat penting menjamin kelanjutan pelayanan sebuah gereja yang baru dirintis. Kebutuhan keuangan keluarga gembala dan fasilitas gereja dapat ditopang dengan cara hamba Tuhan itu berwirausaha. Theopreneurship mengandung dimensi teologis yaitu sebagai mandat yang diberikan Tuhan kepada para gembala untuk mengelola potensi diri dan jemaatnya, meski ada perbedaan pandangan soal baik buruknya seorang hamba Tuhan berwirausaha. Penelitian ini menggunakan metode Studi Literatur untuk menjelaskan kepentingan dan upaya seorang hamba Tuhan melakukan wirausaha guna mendukung kemandirian finansial gereja perintisan. Hasil penelitian mendapatkan bahwa seorang hamba Tuhan yang sedang merintis gereja baru patut berwirausaha secara mandiri sebagai seorang Theopreneur, yang berperan sebagai seorang pelayan (doulus dan huperetes)  dan penatalayan (oikonomos),  juga perlu mengajar, melibatkan dan melakukan mentoring terhadap anggota jemaat atau masyarakat yang dilayaninya untuk berwirauaha bersama sehingga efektif mencapai kemandirian finansial gereja perintisan bagi kejayaan Kerajaan Allah. ","author":[{"dropping-particle":"","family":"Sihite","given":"Franseda","non-dropping-particle":"","parse-names":false,"suffix":""},{"dropping-particle":"","family":"Mendrofa","given":"Henny P","non-dropping-particle":"","parse-names":false,"suffix":""}],"container-title":"Epigraphe","id":"ITEM-1","issue":"1","issued":{"date-parts":[["2022"]]},"note":"Insights: - Pengusaha membutuhkan peluang untuk kemitraan, akuisisi modal, dan kolaborasi.\n- Sikap etis meliputi manajemen modal, keseimbangan batin, kesetiaan, dan kejujuran.","page":"76","title":"Theopreneurship dalam Kemandirian Finansial Gereja Perintisan","type":"article-journal","volume":"6"},"uris":["http://www.mendeley.com/documents/?uuid=0965e491-7968-4552-ae36-980645e34603"]},{"id":"ITEM-2","itemData":{"DOI":"10.1515/9783110726312-024","abstract":"Entrepreneurs are confronted to a variety of ethical issues at the different phases of the life cycle of their ventures: from start-up to growth and maturity stage. Despite large scandals of unethical behaviour by some entrepreneurs and investors, academic literature has drawn limited attention to the intersection of entrepreneurship and ethics. More recently, a few studies on the dark side in business have examined the opportunistic behaviour from both the entrepreneur’s side or the venture investor’s side. This chapter treats with the themes of ethical issues in entrepreneurship literature, the reasons that can explain unethical behaviour and its process: rationalization and the slippery slope. It further analyzes issues of information asymmetry, communication, incentives and conflicts of interests. It also examines specific ethical issues in social enterprises and in family business and the social responsibilities of entrepreneurs for the economy of the region. It suggests an agenda for future research. ","author":[{"dropping-particle":"","family":"Trujillo","given":"Juliette Vargas","non-dropping-particle":"","parse-names":false,"suffix":""}],"id":"ITEM-2","issued":{"date-parts":[["2022"]]},"note":"Insights: - Pengusaha membutuhkan peluang untuk kemitraan, akuisisi modal, dan sikap etis.\n- Loyalitas, kejujuran, keseimbangan batin, dan komitmen sangat penting bagi pengusaha.","page":"375-390","title":"19 Ethics and entrepreneurial finance","type":"chapter"},"uris":["http://www.mendeley.com/documents/?uuid=7d4398dc-9052-4ca0-8cd6-da1de397a4c5"]}],"mendeley":{"formattedCitation":"(Sihite &amp; Mendrofa, 2022; Trujillo, 2022)","plainTextFormattedCitation":"(Sihite &amp; Mendrofa, 2022; Trujillo, 2022)","previouslyFormattedCitation":"(Sihite &amp; Mendrofa, 2022; Trujillo, 2022)"},"properties":{"noteIndex":0},"schema":"https://github.com/citation-style-language/schema/raw/master/csl-citation.json"}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(Sihite &amp; Mendrofa, 2022; Trujillo, 2022)</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Etika kewirausahaan Islam dapat mengurangi masalah agensi dan membangun kepercayaan di antara investor dan pengusaha, berdampak pada keputusan keuangan kewirausahaan.</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{"citationItems":[{"id":"ITEM-1","itemData":{"DOI":"10.1080/13691066.2022.2067017","abstract":"ABSTRACT This paper examines the interactions between Islamic ethics related to entrepreneurs and finance and discusses their implications on entrepreneurial finance. The practice of Islamic entrepreneurial ethics creates trust that helps to mitigate agency problems. In such cases, investors can use contracts involving Islamic financial ethics. However, in the absence of the practice of normative entrepreneurial ethics, agency problems arise that need to be resolved contractually. This paper argues that Islamic legal and ethical principles impose constraints on contractual forms which reduce the flexibility of mitigating agency problems arising in entrepreneurial finance. When entrepreneurial ethics are not practiced, investors can finance entrepreneurs by diluting Islamic financial ethical principles to alleviate agency problems.","author":[{"dropping-particle":"","family":"Ahmed","given":"Habib","non-dropping-particle":"","parse-names":false,"suffix":""},{"dropping-particle":"","family":"Aassouli","given":"Dalal","non-dropping-particle":"","parse-names":false,"suffix":""}],"container-title":"Venture Capital: An International Journal of Entrepreneurial Finance","id":"ITEM-1","issue":"1","issued":{"date-parts":[["2022"]]},"note":"Insights: - Pengusaha membutuhkan kesempatan, sikap etis, keseimbangan batin, kesetiaan, dan kejujuran.\n- Kemampuan untuk mengelola modal terlepas dari ukurannya sangat penting.","page":"25-46","title":"Entrepreneurial finance, agency problems and Islamic ethics: complementarities and constraints","type":"article-journal","volume":"24"},"uris":["http://www.mendeley.com/documents/?uuid=aab2aa7b-e190-4cd6-bd0b-98f0bc1f826b"]}],"mendeley":{"formattedCitation":"(Ahmed &amp; Aassouli, 2022)","plainTextFormattedCitation":"(Ahmed &amp; Aassouli, 2022)","previouslyFormattedCitation":"(Ahmed &amp; Aassouli, 2022)"},"properties":{"noteIndex":0},"schema":"https://github.com/citation-style-language/schema/raw/master/csl-citation.json"}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DF7A71">
        <w:rPr>
          <w:rFonts w:ascii="Times New Roman" w:hAnsi="Times New Roman" w:cs="Times New Roman"/>
          <w:bCs/>
          <w:noProof/>
          <w:color w:val="030303"/>
          <w:sz w:val="24"/>
          <w:szCs w:val="24"/>
          <w:shd w:val="clear" w:color="auto" w:fill="FFFFFF"/>
        </w:rPr>
        <w:t>(Ahmed &amp; Aassouli, 2022)</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Kombinasi ketajaman keuangan, perilaku etis, dan keseimbangan spiritual memungkinkan pengusaha untuk menavigasi risiko dan mempertahankan loyalitas dan kejujuran dalam upaya bisnis mereka, memastikan komitmen yang teguh terhadap usaha mereka meskipun ada tantangan.</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{"citationItems":[{"id":"ITEM-1","itemData":{"DOI":"10.1007/978-3-031-22148-4_9","abstract":"Let us start again with the initial question: are ethics and finance a possible combination? ","author":[{"dropping-particle":"","family":"Grant","given":"Sharon","non-dropping-particle":"","parse-names":false,"suffix":""}],"id":"ITEM-1","issued":{"date-parts":[["2022"]]},"note":"Insights: - Etika dan keuangan dapat menjadi kombinasi yang mungkin dalam kewirausahaan.\n- Pengusaha membutuhkan peluang, sikap etis, keseimbangan batin, kesetiaan, dan kejujuran.","page":"177-178","title":"Conclusions","type":"chapter"},"uris":["http://www.mendeley.com/documents/?uuid=7a99a661-c1ba-40ec-ae4e-cf0fb607bfa0"]}],"mendeley":{"formattedCitation":"(Grant, 2022)","plainTextFormattedCitation":"(Grant, 2022)","previouslyFormattedCitation":"(Grant, 2022)"},"properties":{"noteIndex":0},"schema":"https://github.com/citation-style-language/schema/raw/master/csl-citation.json"}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(Grant, 2022)</w:t>
      </w:r>
      <w:r>
        <w:rPr>
          <w:rStyle w:val="FootnoteReference"/>
          <w:rFonts w:ascii="Times New Roman" w:hAnsi="Times New Roman" w:cs="Times New Roman"/>
          <w:color w:val="030303"/>
          <w:sz w:val="24"/>
          <w:szCs w:val="24"/>
          <w:shd w:val="clear" w:color="auto" w:fill="FFFFFF"/>
        </w:rPr>
        <w:fldChar w:fldCharType="end"/>
      </w:r>
    </w:p>
    <w:p w14:paraId="18ECEEB1"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p>
    <w:p w14:paraId="548DB878"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r w:rsidRPr="000D698C">
        <w:rPr>
          <w:rFonts w:ascii="Times New Roman" w:hAnsi="Times New Roman" w:cs="Times New Roman"/>
          <w:color w:val="030303"/>
          <w:sz w:val="24"/>
          <w:szCs w:val="24"/>
          <w:shd w:val="clear" w:color="auto" w:fill="FFFFFF"/>
        </w:rPr>
        <w:tab/>
        <w:t xml:space="preserve">Penelitian ini menyoroti pentingnya mendorong kewirausahaan di kalangan individu muda, khususnya </w:t>
      </w:r>
      <w:r w:rsidRPr="000D698C">
        <w:rPr>
          <w:rFonts w:ascii="Times New Roman" w:hAnsi="Times New Roman" w:cs="Times New Roman"/>
          <w:i/>
          <w:iCs/>
          <w:color w:val="030303"/>
          <w:sz w:val="24"/>
          <w:szCs w:val="24"/>
          <w:shd w:val="clear" w:color="auto" w:fill="FFFFFF"/>
        </w:rPr>
        <w:t>Church youth</w:t>
      </w:r>
      <w:r w:rsidRPr="000D698C">
        <w:rPr>
          <w:rFonts w:ascii="Times New Roman" w:hAnsi="Times New Roman" w:cs="Times New Roman"/>
          <w:color w:val="030303"/>
          <w:sz w:val="24"/>
          <w:szCs w:val="24"/>
          <w:shd w:val="clear" w:color="auto" w:fill="FFFFFF"/>
        </w:rPr>
        <w:t xml:space="preserve"> yang sedang berada pada era  pertumbuhan populasi usia kerja yang akan terus meningkat hingga puncaknya pada tahun 2045 yang disebut dengan bonus demografi Indonesia. Ketersedian tenaga kerja yang berlimpah bukan saja membutuhkan ketersediaan lapangan kerja tetapi juga ketrampilan membuka usaha.  untuk mengatasi kebutuhan hidup yang kompleks dan persaingan kerja.</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{"citationItems":[{"id":"ITEM-1","itemData":{"DOI":"10.54471/idarotuna.v4i1.40","abstract":"In emerging nations, there is an issue with the lack of entrepreneurs. Indonesia faces a number of difficulties, one of which is the dearth of Muslim businesspeople. Islamic entrepreneurship is frequently linked to moral and social values, which are actually ways that Muslims uphold the principles of their religion. This study makes an offer to provide a theoretical framework for encouraging Muslim businesspeople to engage in Islamic social entrepreneurship.","author":[{"dropping-particle":"","family":"Falach","given":"Alifya Nurul","non-dropping-particle":"","parse-names":false,"suffix":""}],"id":"ITEM-1","issue":"1","issued":{"date-parts":[["2023"]]},"note":"Insights:","page":"12-19","title":"Literasi Kewirausahaan Sosial Islam Pada Pengusaha Muslim di Indonesia","type":"article-journal","volume":"4"},"uris":["http://www.mendeley.com/documents/?uuid=d9cf7b35-ce07-4b3d-bea0-71acb58a563c"]}],"mendeley":{"formattedCitation":"(Falach, 2023)","plainTextFormattedCitation":"(Falach, 2023)","previouslyFormattedCitation":"(Falach, 2023)"},"properties":{"noteIndex":0},"schema":"https://github.com/citation-style-language/schema/raw/master/csl-citation.json"}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bCs/>
          <w:noProof/>
          <w:color w:val="030303"/>
          <w:sz w:val="24"/>
          <w:szCs w:val="24"/>
          <w:shd w:val="clear" w:color="auto" w:fill="FFFFFF"/>
          <w:lang w:val="en-US"/>
        </w:rPr>
        <w:t>(Falach, 2023)</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bdr w:val="single" w:sz="2" w:space="0" w:color="E4E6E8" w:frame="1"/>
          <w:shd w:val="clear" w:color="auto" w:fill="FFFFFF"/>
          <w:vertAlign w:val="superscript"/>
        </w:rPr>
        <w:t xml:space="preserve">  </w:t>
      </w:r>
      <w:r w:rsidRPr="000D698C">
        <w:rPr>
          <w:rFonts w:ascii="Times New Roman" w:hAnsi="Times New Roman" w:cs="Times New Roman"/>
          <w:color w:val="030303"/>
          <w:sz w:val="24"/>
          <w:szCs w:val="24"/>
          <w:shd w:val="clear" w:color="auto" w:fill="FFFFFF"/>
        </w:rPr>
        <w:t>Sementara pemerintah telah mempromosikan kewirausahaan melalui berbagai inisiatif seperti memberikan pinjaman modal dan memfasilitasi izin usaha, gereja juga memainkan peran penting dalam mempersiapkan kaum muda untuk terlibat dalam kegiatan wirausaha berdasarkan prinsip-prinsip Kristen.</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{"citationItems":[{"id":"ITEM-1","itemData":{"DOI":"10.21098/jimf.v9i2.1647","abstract":"Using an integrated entrepreneurial model, this study examines social entrepreneurship intention of Muslim youth in Indonesia. In the study, a total of 206 of Muslim youths and surveyed and the data are analyzed using the partial least squares structural equation model (PLS-SEM). The findings show that, while religiosity does not have a direct effect on socio-entrepreneurial intention, it increases perceived desirability. We reason that the religiosity of Muslim youth is more on the formation of positive perceptions, which give rise to desires and intentions to be socio-entrepreneurs. Thus, the application of social entrepreneurship among Muslim youth in Indonesia is supported by not only profits but also individual beliefs in creating social value and prospering society.","author":[{"dropping-particle":"","family":"Khoirunnisa","given":"Ann","non-dropping-particle":"","parse-names":false,"suffix":""},{"dropping-particle":"","family":"Salsabiil","given":"Uma Zalfa","non-dropping-particle":"","parse-names":false,"suffix":""},{"dropping-particle":"","family":"Sodik","given":"Fajar","non-dropping-particle":"","parse-names":false,"suffix":""},{"dropping-particle":"","family":"Yusfiarto","given":"Rizaldi","non-dropping-particle":"","parse-names":false,"suffix":""}],"container-title":"Journal of Islamic Monetary Economics and Finance","id":"ITEM-1","issue":"2","issued":{"date-parts":[["2023"]]},"note":"Insights: - Religiusitas mempengaruhi niat sosio-wirausaha secara positif di kalangan pemuda Muslim di Indonesia.\n- Efek langsung religiusitas pada niat sosial-kewirausahaan tidak signifikan.","title":"Linking religiosity to socio-entrepreneurship intention: a case of muslim youth in indonesia","type":"article-journal","volume":"9"},"uris":["http://www.mendeley.com/documents/?uuid=e4b9613e-1258-455f-9329-38c4c1ffb5d5"]}],"mendeley":{"formattedCitation":"(Khoirunnisa et al., 2023)","plainTextFormattedCitation":"(Khoirunnisa et al., 2023)","previouslyFormattedCitation":"(Khoirunnisa et al., 2023)"},"properties":{"noteIndex":0},"schema":"https://github.com/citation-style-language/schema/raw/master/csl-citation.json"}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noProof/>
          <w:color w:val="030303"/>
          <w:sz w:val="24"/>
          <w:szCs w:val="24"/>
          <w:shd w:val="clear" w:color="auto" w:fill="FFFFFF"/>
        </w:rPr>
        <w:t>(Khoirunnisa et al., 2023)</w:t>
      </w:r>
      <w:r>
        <w:rPr>
          <w:rStyle w:val="FootnoteReference"/>
          <w:rFonts w:ascii="Times New Roman" w:hAnsi="Times New Roman" w:cs="Times New Roman"/>
          <w:color w:val="030303"/>
          <w:sz w:val="24"/>
          <w:szCs w:val="24"/>
          <w:shd w:val="clear" w:color="auto" w:fill="FFFFFF"/>
        </w:rPr>
        <w:fldChar w:fldCharType="end"/>
      </w:r>
      <w:r w:rsidRPr="000D698C">
        <w:rPr>
          <w:rFonts w:ascii="Times New Roman" w:hAnsi="Times New Roman" w:cs="Times New Roman"/>
          <w:color w:val="030303"/>
          <w:sz w:val="24"/>
          <w:szCs w:val="24"/>
          <w:shd w:val="clear" w:color="auto" w:fill="FFFFFF"/>
        </w:rPr>
        <w:t xml:space="preserve">  Hal ini sejalan dengan gagasan bahwa usaha dianggap sebagai berkat dari Allah dan harus dilakukan sesuai dengan ajaran Kristus, menekankan integrasi iman dan usaha bisnis. </w:t>
      </w:r>
      <w:r w:rsidRPr="00A334E0">
        <w:rPr>
          <w:rFonts w:ascii="Times New Roman" w:eastAsia="Arial" w:hAnsi="Times New Roman" w:cs="Times New Roman"/>
          <w:color w:val="000000"/>
          <w:sz w:val="24"/>
          <w:szCs w:val="24"/>
        </w:rPr>
        <w:t>Penekanannya kepada kejujuran, kerja keras dan kerajinan, kasih dan kepedulian, integritas serta iman yang nyata dari ketergantungan kepada Tuhan</w:t>
      </w:r>
      <w:r w:rsidRPr="000D698C">
        <w:rPr>
          <w:rFonts w:ascii="Times New Roman" w:hAnsi="Times New Roman" w:cs="Times New Roman"/>
          <w:color w:val="030303"/>
          <w:sz w:val="24"/>
          <w:szCs w:val="24"/>
          <w:shd w:val="clear" w:color="auto" w:fill="FFFFFF"/>
        </w:rPr>
        <w:t>, gereja dapat berkontribusi untuk menumbuhkan generasi pengusaha yang tidak hanya mendorong pertumbuhan ekonomi tetapi juga menjunjung tinggi standar moral dan etika dalam praktik bisnis dan kinerja usaha mereka.</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{"citationItems":[{"id":"ITEM-1","itemData":{"DOI":"10.21067/jrpe.v7i2.6828","abstract":"Start-ups have become an important part of the business development of young entrepreneurs. There is enough evidence to show that young entrepreneurs are successful with the start-ups they build. The Covid-19 pandemic has caused massive digital use in life. This reality is increasingly providing greater opportunities for young entrepreneurs to do business by building start-ups. Even though the pandemic is almost over, it is believed that the massive use of digital media will not decrease. This study aims to analyze the role of start-ups for the development of student entrepreneurship after the COVID-19 pandemic in Indonesia. The research was conducted with a descriptive qualitative approach. The data was obtained through observation and searching on various digital media platforms and official websites related to student entrepreneurship. The results showed that the role of start-ups during the pandemic for the development of student entrepreneurship was very beneficial, due to the assistance of various platforms or media that could be used to develop the business of student entrepreneurs. Thus, the role of start-ups is the main factor, it is important that these business ideas arise from problems that have been experienced by the Indonesian people, so that from these problems emerge creative solutions so that they are developed by startup business people into a value that can help solve problems and also meet community needs","author":[{"dropping-particle":"","family":"Ferdiansyah","given":"Okky","non-dropping-particle":"","parse-names":false,"suffix":""},{"dropping-particle":"","family":"Permana","given":"Erwin Johan","non-dropping-particle":"","parse-names":false,"suffix":""}],"container-title":"Jurnal riset pendidikan ekonomi","id":"ITEM-1","issue":"2","issued":{"date-parts":[["2022"]]},"note":"Insights: - Studi berfokus pada peran startup dalam kewirausahaan mahasiswa pasca pandemi.\n- Startup penting untuk pengembangan kewirausahaan mahasiswa di Indonesia pasca-COVID-19.","page":"151-159","title":"Peran start up untuk pengembangan kewirausahaan mahasiswa pasca pandemi covid 19 di Indonesia","type":"article-journal","volume":"7"},"uris":["http://www.mendeley.com/documents/?uuid=8385b232-4b9d-4af5-9ab5-68e0e3753ba4"]}],"mendeley":{"formattedCitation":"(Ferdiansyah &amp; Permana, 2022)","plainTextFormattedCitation":"(Ferdiansyah &amp; Permana, 2022)","previouslyFormattedCitation":"(Ferdiansyah &amp; Permana, 2022)"},"properties":{"noteIndex":0},"schema":"https://github.com/citation-style-language/schema/raw/master/csl-citation.json"}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A268BE">
        <w:rPr>
          <w:rFonts w:ascii="Times New Roman" w:hAnsi="Times New Roman" w:cs="Times New Roman"/>
          <w:bCs/>
          <w:noProof/>
          <w:color w:val="030303"/>
          <w:sz w:val="24"/>
          <w:szCs w:val="24"/>
          <w:shd w:val="clear" w:color="auto" w:fill="FFFFFF"/>
        </w:rPr>
        <w:t>(Ferdiansyah &amp; Permana, 2022)</w:t>
      </w:r>
      <w:r>
        <w:rPr>
          <w:rStyle w:val="FootnoteReference"/>
          <w:rFonts w:ascii="Times New Roman" w:hAnsi="Times New Roman" w:cs="Times New Roman"/>
          <w:color w:val="030303"/>
          <w:sz w:val="24"/>
          <w:szCs w:val="24"/>
          <w:shd w:val="clear" w:color="auto" w:fill="FFFFFF"/>
        </w:rPr>
        <w:fldChar w:fldCharType="end"/>
      </w:r>
    </w:p>
    <w:p w14:paraId="5BEAA7F6" w14:textId="77777777" w:rsidR="002C3752" w:rsidRPr="000D698C" w:rsidRDefault="002C3752" w:rsidP="002C3752">
      <w:pPr>
        <w:ind w:right="-1"/>
        <w:jc w:val="both"/>
        <w:rPr>
          <w:rFonts w:ascii="Times New Roman" w:hAnsi="Times New Roman" w:cs="Times New Roman"/>
          <w:color w:val="030303"/>
          <w:sz w:val="24"/>
          <w:szCs w:val="24"/>
          <w:shd w:val="clear" w:color="auto" w:fill="FFFFFF"/>
        </w:rPr>
      </w:pPr>
    </w:p>
    <w:p w14:paraId="543A7670" w14:textId="77777777" w:rsidR="002C3752" w:rsidRPr="000D698C" w:rsidRDefault="002C3752" w:rsidP="002C3752">
      <w:pPr>
        <w:jc w:val="both"/>
        <w:rPr>
          <w:rFonts w:ascii="Times New Roman" w:hAnsi="Times New Roman" w:cs="Times New Roman"/>
          <w:sz w:val="24"/>
          <w:szCs w:val="24"/>
        </w:rPr>
      </w:pPr>
      <w:r w:rsidRPr="000D698C">
        <w:rPr>
          <w:rFonts w:ascii="Times New Roman" w:hAnsi="Times New Roman" w:cs="Times New Roman"/>
          <w:sz w:val="24"/>
          <w:szCs w:val="24"/>
        </w:rPr>
        <w:tab/>
        <w:t>Riset ini menggunakan pendekatan kualitatif dengan metode eksposisi secara topikal terhadap teks Injil Matius 25: 14-30. Metode berikutnya adalah paraktika dengan responden para Pemuda gereja Orthodoks Indonesia Patokia Agios Demitrius Medan.  Wawancara adalah instrumen yang dipergunakan untuk pengambilan data yang diperoleh dari lima belas pemuda yang dikategorikan aktif bergereja selama lima tahun. Isi wawancara diformulasikan dari hasil eksposisi terhadap teks Injil Matius.</w:t>
      </w:r>
    </w:p>
    <w:p w14:paraId="61DE7A02" w14:textId="77777777" w:rsidR="002C3752" w:rsidRPr="000D698C" w:rsidRDefault="002C3752" w:rsidP="002C3752">
      <w:pPr>
        <w:jc w:val="both"/>
        <w:rPr>
          <w:rFonts w:ascii="Times New Roman" w:hAnsi="Times New Roman" w:cs="Times New Roman"/>
          <w:b/>
          <w:bCs/>
          <w:sz w:val="24"/>
          <w:szCs w:val="24"/>
        </w:rPr>
      </w:pPr>
      <w:r w:rsidRPr="000D698C">
        <w:rPr>
          <w:rFonts w:ascii="Times New Roman" w:hAnsi="Times New Roman" w:cs="Times New Roman"/>
          <w:b/>
          <w:bCs/>
          <w:sz w:val="24"/>
          <w:szCs w:val="24"/>
        </w:rPr>
        <w:t xml:space="preserve">  </w:t>
      </w:r>
    </w:p>
    <w:p w14:paraId="2EFB77F8" w14:textId="77777777" w:rsidR="002C3752" w:rsidRPr="000D698C" w:rsidRDefault="002C3752" w:rsidP="002C3752">
      <w:pPr>
        <w:jc w:val="both"/>
        <w:rPr>
          <w:rFonts w:ascii="Times New Roman" w:hAnsi="Times New Roman" w:cs="Times New Roman"/>
          <w:b/>
          <w:bCs/>
          <w:sz w:val="24"/>
          <w:szCs w:val="24"/>
        </w:rPr>
      </w:pPr>
      <w:r>
        <w:rPr>
          <w:rFonts w:ascii="Times New Roman" w:hAnsi="Times New Roman" w:cs="Times New Roman"/>
          <w:b/>
          <w:bCs/>
          <w:sz w:val="24"/>
          <w:szCs w:val="24"/>
        </w:rPr>
        <w:t xml:space="preserve">Hasil </w:t>
      </w:r>
      <w:r w:rsidRPr="000D698C">
        <w:rPr>
          <w:rFonts w:ascii="Times New Roman" w:hAnsi="Times New Roman" w:cs="Times New Roman"/>
          <w:b/>
          <w:bCs/>
          <w:sz w:val="24"/>
          <w:szCs w:val="24"/>
        </w:rPr>
        <w:t>Eksposisi Teks</w:t>
      </w:r>
    </w:p>
    <w:p w14:paraId="00362563" w14:textId="77777777" w:rsidR="002C3752" w:rsidRPr="000D698C" w:rsidRDefault="002C3752" w:rsidP="002C3752">
      <w:pPr>
        <w:jc w:val="both"/>
        <w:rPr>
          <w:rFonts w:ascii="Times New Roman" w:hAnsi="Times New Roman" w:cs="Times New Roman"/>
          <w:b/>
          <w:bCs/>
          <w:sz w:val="24"/>
          <w:szCs w:val="24"/>
        </w:rPr>
      </w:pPr>
    </w:p>
    <w:p w14:paraId="3844F499" w14:textId="77777777" w:rsidR="002C3752" w:rsidRPr="000D698C" w:rsidRDefault="002C3752" w:rsidP="002C3752">
      <w:pPr>
        <w:jc w:val="both"/>
        <w:rPr>
          <w:rFonts w:ascii="Times New Roman" w:hAnsi="Times New Roman" w:cs="Times New Roman"/>
          <w:sz w:val="24"/>
          <w:szCs w:val="24"/>
        </w:rPr>
      </w:pPr>
      <w:r w:rsidRPr="000D698C">
        <w:rPr>
          <w:rFonts w:ascii="Times New Roman" w:hAnsi="Times New Roman" w:cs="Times New Roman"/>
          <w:sz w:val="24"/>
          <w:szCs w:val="24"/>
        </w:rPr>
        <w:tab/>
        <w:t xml:space="preserve">Teks Matius 25:14-30 disajikan Yesus dalam bentuk </w:t>
      </w:r>
      <w:r w:rsidRPr="000D698C">
        <w:rPr>
          <w:rFonts w:ascii="Times New Roman" w:hAnsi="Times New Roman" w:cs="Times New Roman"/>
          <w:i/>
          <w:iCs/>
          <w:sz w:val="24"/>
          <w:szCs w:val="24"/>
        </w:rPr>
        <w:t>perumpamaan</w:t>
      </w:r>
      <w:r w:rsidRPr="000D698C">
        <w:rPr>
          <w:rFonts w:ascii="Times New Roman" w:hAnsi="Times New Roman" w:cs="Times New Roman"/>
          <w:sz w:val="24"/>
          <w:szCs w:val="24"/>
        </w:rPr>
        <w:t xml:space="preserve"> sebagaimana lazimnya Ia mengajar. Pengajaran Yesus tentang Kerajaan Allah selalu digambarkan melalui cerita-cerita yang menarik. Salah satu gambaran Kerajaan Allah berkenaan dengan seorang yang bepergian dan menitipkan hartanya kepada tiga orang hamba untuk dikelola dan mendapatkan hasil berlipat ganda. </w:t>
      </w:r>
    </w:p>
    <w:p w14:paraId="48685CD0" w14:textId="77777777" w:rsidR="002C3752" w:rsidRDefault="002C3752" w:rsidP="002C3752">
      <w:pPr>
        <w:jc w:val="both"/>
        <w:rPr>
          <w:rFonts w:ascii="Times New Roman" w:hAnsi="Times New Roman" w:cs="Times New Roman"/>
          <w:sz w:val="24"/>
          <w:szCs w:val="24"/>
        </w:rPr>
      </w:pPr>
      <w:r w:rsidRPr="000D698C">
        <w:rPr>
          <w:rFonts w:ascii="Times New Roman" w:hAnsi="Times New Roman" w:cs="Times New Roman"/>
          <w:sz w:val="24"/>
          <w:szCs w:val="24"/>
        </w:rPr>
        <w:tab/>
        <w:t>Teks Injil dari Perumpamaan Talenta menceritakan sebuah kisah di mana seorang tuan mempercayakan sejumlah talenta yang bervariasi (suatu bentuk mata uang di zaman kuno, seringkali emas, perak, atau logam lainnya) kepada ketiga hambanya sebelum berangkat dalam perjalanan</w:t>
      </w:r>
      <w:r>
        <w:rPr>
          <w:rFonts w:ascii="Times New Roman" w:hAnsi="Times New Roman" w:cs="Times New Roman"/>
          <w:sz w:val="24"/>
          <w:szCs w:val="24"/>
        </w:rPr>
        <w:t>.</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{"citationItems":[{"id":"ITEM-1","itemData":{"DOI":"10.4337/9781784714833.00014","abstract":"On its surface, Jesus’ Parable of the Talents is a simple story with four key plot elements: (1) A master is leaving on a long trip and entrusts substantial assets to three servants to manage during his absence. (2) Two of the servants invested the assets profitably, earning substantial returns, but a third servant — frightened of his master’s reputation as a hard taskmaster — put the money away for safekeeping and failed even to earn interest on it. (3) The master returns and demands an accounting from the servants. (4) The two servants who invested wisely were rewarded, but the servant who failed to do so is punished. Neither the master nor any of the servants make any appeal to legal standards, but it seems improbable that there was no background set of rules against which the story plays out. To the legal mind, the Parable thus raises some interesting questions: What was the relationship between the master and the servant? What were the servants’ duties? How do the likely answers to those questions map to modern relations, such as those of principal and agent? Curiously, however, there are almost no detailed analyses of these questions in Anglo-American legal scholarship. This project seeks to fill that gap.","author":[{"dropping-particle":"","family":"Bainbridge","given":"Stephen M","non-dropping-particle":"","parse-names":false,"suffix":""}],"container-title":"Social Science Research Network","id":"ITEM-1","issued":{"date-parts":[["2018"]]},"note":"Insights: Tidak dibahas di koran.","title":"The parable of the talents","type":"article-journal"},"uris":["http://www.mendeley.com/documents/?uuid=4ae72aa9-34f6-420b-9989-e78473396c24"]},{"id":"ITEM-2","itemData":{"abstract":"It is a simple story that our Lord tells here. A man who is preparing to leave on a journey entrusts his possessions to his servants. He distributes his wealth among three servants, apportioned to them on the basis of their abilities. To the first he entrusted five talents, to the second two talents, and to the third one talent. The first two servants quickly set to work with their master’s money. The third servant did not invest his master’s money at all; he dug a hole in the ground and buried his master’s money. When the master returned, the first two eagerly met their master, apparently delighted in the opportunity to multiply their master’s money. Both were commended as “good and faithful servants”; both were rewarded with increased responsibilities in their master’s service; both were invited to share in their master’s joy.","author":[{"dropping-particle":"","family":"Fuller","given":"Charles E","non-dropping-particle":"","parse-names":false,"suffix":""}],"id":"ITEM-2","issued":{"date-parts":[["1951"]]},"note":"Insights: Perumpamaan Talenta dalam Matius 25:14-30 menggambarkan seorang tuan yang mempercayakan berbagai jumlah kekayaan (talenta) kepada hamba-hambanya berdasarkan kemampuan mereka, melambangkan tanggung jawab dan pengelolaan.","title":"The Parable of the Talents - Matthew 25:14-30","type":"article-journal"},"uris":["http://www.mendeley.com/documents/?uuid=3c0f18c3-c962-436a-a967-25781edd60bf"]}],"mendeley":{"formattedCitation":"(Bainbridge, 2018; Fuller, 1951)","plainTextFormattedCitation":"(Bainbridge, 2018; Fuller, 1951)","previouslyFormattedCitation":"(Bainbridge, 2018; Fuller, 1951)"},"properties":{"noteIndex":0},"schema":"https://github.com/citation-style-language/schema/raw/master/csl-citation.json"}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7C6BFC">
        <w:rPr>
          <w:rFonts w:ascii="Times New Roman" w:hAnsi="Times New Roman" w:cs="Times New Roman"/>
          <w:bCs/>
          <w:noProof/>
          <w:sz w:val="24"/>
          <w:szCs w:val="24"/>
          <w:lang w:val="en-US"/>
        </w:rPr>
        <w:t>(Bainbridge, 2018; Fuller, 1951)</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w:t>
      </w:r>
      <w:r w:rsidRPr="000D698C">
        <w:rPr>
          <w:rFonts w:ascii="Times New Roman" w:hAnsi="Times New Roman" w:cs="Times New Roman"/>
          <w:sz w:val="24"/>
          <w:szCs w:val="24"/>
        </w:rPr>
        <w:t>Dua pelayan pertama menginvestasikan talenta dengan bijak dan mendapatkan keuntungan</w:t>
      </w:r>
      <w:r>
        <w:rPr>
          <w:rFonts w:ascii="Times New Roman" w:hAnsi="Times New Roman" w:cs="Times New Roman"/>
          <w:sz w:val="24"/>
          <w:szCs w:val="24"/>
        </w:rPr>
        <w:t xml:space="preserve"> masing-masing dua kalilipat dari modal usaha yang diterima</w:t>
      </w:r>
      <w:r w:rsidRPr="000D698C">
        <w:rPr>
          <w:rFonts w:ascii="Times New Roman" w:hAnsi="Times New Roman" w:cs="Times New Roman"/>
          <w:sz w:val="24"/>
          <w:szCs w:val="24"/>
        </w:rPr>
        <w:t xml:space="preserve">, sementara hamba ketiga mengubur </w:t>
      </w:r>
      <w:r>
        <w:rPr>
          <w:rFonts w:ascii="Times New Roman" w:hAnsi="Times New Roman" w:cs="Times New Roman"/>
          <w:sz w:val="24"/>
          <w:szCs w:val="24"/>
        </w:rPr>
        <w:t xml:space="preserve">modalnya satu talenta </w:t>
      </w:r>
      <w:r w:rsidRPr="000D698C">
        <w:rPr>
          <w:rFonts w:ascii="Times New Roman" w:hAnsi="Times New Roman" w:cs="Times New Roman"/>
          <w:sz w:val="24"/>
          <w:szCs w:val="24"/>
        </w:rPr>
        <w:t>dan gagal menghasilka</w:t>
      </w:r>
      <w:r>
        <w:rPr>
          <w:rFonts w:ascii="Times New Roman" w:hAnsi="Times New Roman" w:cs="Times New Roman"/>
          <w:sz w:val="24"/>
          <w:szCs w:val="24"/>
        </w:rPr>
        <w:t>n duplikasi modal tersebut</w:t>
      </w:r>
      <w:r w:rsidRPr="000D698C">
        <w:rPr>
          <w:rFonts w:ascii="Times New Roman" w:hAnsi="Times New Roman" w:cs="Times New Roman"/>
          <w:sz w:val="24"/>
          <w:szCs w:val="24"/>
        </w:rPr>
        <w:t xml:space="preserve">. </w:t>
      </w:r>
    </w:p>
    <w:p w14:paraId="66BD6782" w14:textId="77777777" w:rsidR="002C3752" w:rsidRDefault="002C3752" w:rsidP="002C3752">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0D698C">
        <w:rPr>
          <w:rFonts w:ascii="Times New Roman" w:hAnsi="Times New Roman" w:cs="Times New Roman"/>
          <w:sz w:val="24"/>
          <w:szCs w:val="24"/>
        </w:rPr>
        <w:t xml:space="preserve">Para sarjana berpendapat bahwa talenta dalam perumpamaan melambangkan bukan hanya kekayaan materi tetapi juga pengetahuan tentang rahasia kerajaan surga, </w:t>
      </w:r>
      <w:r>
        <w:rPr>
          <w:rFonts w:ascii="Times New Roman" w:hAnsi="Times New Roman" w:cs="Times New Roman"/>
          <w:sz w:val="24"/>
          <w:szCs w:val="24"/>
        </w:rPr>
        <w:t xml:space="preserve">dan </w:t>
      </w:r>
      <w:r w:rsidRPr="000D698C">
        <w:rPr>
          <w:rFonts w:ascii="Times New Roman" w:hAnsi="Times New Roman" w:cs="Times New Roman"/>
          <w:sz w:val="24"/>
          <w:szCs w:val="24"/>
        </w:rPr>
        <w:t>menekankan pentingnya penatalayanan yang setia dan memanfaatkan karunia dan wawasan yang diberikan oleh tuannya.</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{"citationItems":[{"id":"ITEM-1","itemData":{"DOI":"10.53751/001C.29194","abstract":"The parable of the Talents contains some elements that were intended to be interpreted allegorically. The master represents the Son of Man; the servants represent the disciples. But what about the talents? Some say the talents represent gifts and abilities; others, that they do not represent anything specific but are necessary only to demonstrate faithful stewardship. However, this article proposes that Matthew did have a specific referent in mind. By means of an extended verbal repetition (Matt. 13:12 and 25:29) Matthew intended the talents to refer to ‘the knowledge of the secrets of the kingdom of heaven’. In other words, the disciples have been given inside information about the kingdom – they were given the interpretation of Jesus’ parables unlike the crowds who only heard the parables – and therefore they must make use of this knowledge to bring about a profit for Jesus. Those who do will be rewarded; failure to do so will result in punishment. Furthermore, this applies just as much to the readers of Matthew’s gospel. Support for this view is found in 1 Corinthians 4:1-5.","author":[{"dropping-particle":"","family":"Chenoweth","given":"Ben","non-dropping-particle":"","parse-names":false,"suffix":""}],"container-title":"Tyndale Bulletin","id":"ITEM-1","issue":"1","issued":{"date-parts":[["2005"]]},"note":"Insights: Tidak dibahas di koran.","page":"61-72","title":"Identifying the Talents: Contextual Clues for the Interpretation of the Parable of the Talents (Matthew 25:14-30)","type":"article-journal","volume":"56"},"uris":["http://www.mendeley.com/documents/?uuid=94ac984f-f087-47c7-9371-81631efeab8d"]}],"mendeley":{"formattedCitation":"(Chenoweth, 2005)","plainTextFormattedCitation":"(Chenoweth, 2005)","previouslyFormattedCitation":"(Chenoweth, 2005)"},"properties":{"noteIndex":0},"schema":"https://github.com/citation-style-language/schema/raw/master/csl-citation.json"}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DF7A71">
        <w:rPr>
          <w:rFonts w:ascii="Times New Roman" w:hAnsi="Times New Roman" w:cs="Times New Roman"/>
          <w:bCs/>
          <w:noProof/>
          <w:sz w:val="24"/>
          <w:szCs w:val="24"/>
        </w:rPr>
        <w:t>(Chenoweth, 2005)</w:t>
      </w:r>
      <w:r>
        <w:rPr>
          <w:rStyle w:val="FootnoteReference"/>
          <w:rFonts w:ascii="Times New Roman" w:hAnsi="Times New Roman" w:cs="Times New Roman"/>
          <w:sz w:val="24"/>
          <w:szCs w:val="24"/>
        </w:rPr>
        <w:fldChar w:fldCharType="end"/>
      </w:r>
      <w:r w:rsidRPr="000D698C">
        <w:rPr>
          <w:rFonts w:ascii="Times New Roman" w:hAnsi="Times New Roman" w:cs="Times New Roman"/>
          <w:sz w:val="24"/>
          <w:szCs w:val="24"/>
        </w:rPr>
        <w:t xml:space="preserve"> Perumpamaan ini, diatur dalam konteks historis eksploitasi dan kritik terhadap ketidakadilan sosial, berfungsi sebagai pelajaran moral tentang tanggung jawab, ketekunan, dan konsekuensi dari kegagalan memanfaatkan sumber daya seseorang secara efektif.</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{"citationItems":[{"id":"ITEM-1","itemData":{"abstract":"Using the inter-contextual hermeneutics methodology and focusing on the exceptional profit of the first two servants, this essay reads the parable of the talents from a non-elite perspective in Matthew's literary and historical-social contexts, with the local money lending business in Nigeria as a point of departure. It sees the exploitation of the poor by the rich through their agents that was going on in the society in Jesus' time as the historical context of the parable and concludes that the parable is a critique of this system and by extension of exploitation in our own time. The master and the first two servants who exploited the poor stand condemned at the last judgment while the third servant who, fearing God and refusing to take part in the exploitation, openly criticized the master represents the prophetic voice of the gospel criticizing exploitation. He is the role model for Christians.","author":[{"dropping-particle":"","family":"Ukpong","given":"Justin S","non-dropping-particle":"","parse-names":false,"suffix":""}],"id":"ITEM-1","issue":"1","issued":{"date-parts":[["2012"]]},"note":"Insights: Tidak dibahas di koran.","page":"190-207","title":"The parable of the talents (Matthew 25:14-30) : commendation or critique of exploitation? : a social-historical and theological reading","type":"article-journal","volume":"46"},"uris":["http://www.mendeley.com/documents/?uuid=7f7646be-f319-4d1c-a56c-4a3d4d3d0249"]}],"mendeley":{"formattedCitation":"(Ukpong, 2012)","plainTextFormattedCitation":"(Ukpong, 2012)","previouslyFormattedCitation":"(Ukpong, 2012)"},"properties":{"noteIndex":0},"schema":"https://github.com/citation-style-language/schema/raw/master/csl-citation.json"}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7C6BFC">
        <w:rPr>
          <w:rFonts w:ascii="Times New Roman" w:hAnsi="Times New Roman" w:cs="Times New Roman"/>
          <w:bCs/>
          <w:noProof/>
          <w:sz w:val="24"/>
          <w:szCs w:val="24"/>
          <w:lang w:val="en-US"/>
        </w:rPr>
        <w:t>(Ukpong, 2012)</w:t>
      </w:r>
      <w:r>
        <w:rPr>
          <w:rStyle w:val="FootnoteReference"/>
          <w:rFonts w:ascii="Times New Roman" w:hAnsi="Times New Roman" w:cs="Times New Roman"/>
          <w:sz w:val="24"/>
          <w:szCs w:val="24"/>
        </w:rPr>
        <w:fldChar w:fldCharType="end"/>
      </w:r>
    </w:p>
    <w:p w14:paraId="0B38DF2A" w14:textId="77777777" w:rsidR="002C3752" w:rsidRDefault="002C3752" w:rsidP="002C3752">
      <w:pPr>
        <w:jc w:val="both"/>
        <w:rPr>
          <w:b/>
          <w:bCs/>
        </w:rPr>
      </w:pPr>
      <w:r w:rsidRPr="00EA12C4">
        <w:rPr>
          <w:b/>
          <w:bCs/>
        </w:rPr>
        <w:t>Modal</w:t>
      </w:r>
    </w:p>
    <w:p w14:paraId="1FD6082E" w14:textId="77777777" w:rsidR="002C3752" w:rsidRPr="004F7A47" w:rsidRDefault="002C3752" w:rsidP="002C3752">
      <w:pPr>
        <w:jc w:val="both"/>
        <w:rPr>
          <w:rFonts w:ascii="Times New Roman" w:hAnsi="Times New Roman" w:cs="Times New Roman"/>
          <w:sz w:val="24"/>
          <w:szCs w:val="24"/>
        </w:rPr>
      </w:pPr>
      <w:r>
        <w:rPr>
          <w:b/>
          <w:bCs/>
        </w:rPr>
        <w:tab/>
      </w:r>
      <w:r w:rsidRPr="004F7A47">
        <w:rPr>
          <w:rFonts w:ascii="Times New Roman" w:hAnsi="Times New Roman" w:cs="Times New Roman"/>
          <w:sz w:val="24"/>
          <w:szCs w:val="24"/>
        </w:rPr>
        <w:t xml:space="preserve">Semua usaha membutuhkan modal. Modal adalah sejumlah uang dialokasikan untuk memulai sebuah usaha. Usaha yang sukses adalah usaha yang dapat mengambalikan modal dasar atau mencapai </w:t>
      </w:r>
      <w:r w:rsidRPr="004F7A47">
        <w:rPr>
          <w:rFonts w:ascii="Times New Roman" w:hAnsi="Times New Roman" w:cs="Times New Roman"/>
          <w:i/>
          <w:iCs/>
          <w:sz w:val="24"/>
          <w:szCs w:val="24"/>
        </w:rPr>
        <w:t>break event point</w:t>
      </w:r>
      <w:r w:rsidRPr="004F7A47">
        <w:rPr>
          <w:rFonts w:ascii="Times New Roman" w:hAnsi="Times New Roman" w:cs="Times New Roman"/>
          <w:sz w:val="24"/>
          <w:szCs w:val="24"/>
        </w:rPr>
        <w:t xml:space="preserve">. Modal dapat ditambahkan kapan saja diperlukan seiring dengan pertumbuhan dan pengembangan usaha. </w:t>
      </w:r>
    </w:p>
    <w:p w14:paraId="71048FD8" w14:textId="77777777" w:rsidR="002C3752" w:rsidRPr="000D698C" w:rsidRDefault="002C3752" w:rsidP="002C3752">
      <w:pPr>
        <w:pStyle w:val="NormalWeb"/>
        <w:jc w:val="both"/>
      </w:pPr>
      <w:r w:rsidRPr="000D698C">
        <w:rPr>
          <w:lang w:val="id-ID"/>
        </w:rPr>
        <w:tab/>
      </w:r>
      <w:r w:rsidRPr="004F7A47">
        <w:rPr>
          <w:lang w:val="id-ID"/>
        </w:rPr>
        <w:t>Pemodal yang dalam teks ini adalah seorang tuan</w:t>
      </w:r>
      <w:r>
        <w:rPr>
          <w:lang w:val="id-ID"/>
        </w:rPr>
        <w:t xml:space="preserve"> </w:t>
      </w:r>
      <w:r w:rsidRPr="004F7A47">
        <w:rPr>
          <w:lang w:val="id-ID"/>
        </w:rPr>
        <w:t>menyediakan dana kepada tiga rekan tepercaya</w:t>
      </w:r>
      <w:r>
        <w:rPr>
          <w:lang w:val="id-ID"/>
        </w:rPr>
        <w:t xml:space="preserve"> </w:t>
      </w:r>
      <w:r w:rsidRPr="004F7A47">
        <w:rPr>
          <w:lang w:val="id-ID"/>
        </w:rPr>
        <w:t xml:space="preserve">untuk terlibat dalam usaha yang menghasilkan keuntungan ganda. </w:t>
      </w:r>
      <w:proofErr w:type="spellStart"/>
      <w:r w:rsidRPr="000D698C">
        <w:t>Setelah</w:t>
      </w:r>
      <w:proofErr w:type="spellEnd"/>
      <w:r w:rsidRPr="000D698C">
        <w:t xml:space="preserve"> </w:t>
      </w:r>
      <w:proofErr w:type="spellStart"/>
      <w:r w:rsidRPr="000D698C">
        <w:t>pemodal</w:t>
      </w:r>
      <w:proofErr w:type="spellEnd"/>
      <w:r w:rsidRPr="000D698C">
        <w:t xml:space="preserve"> </w:t>
      </w:r>
      <w:proofErr w:type="spellStart"/>
      <w:r w:rsidRPr="000D698C">
        <w:t>kembali</w:t>
      </w:r>
      <w:proofErr w:type="spellEnd"/>
      <w:r w:rsidRPr="000D698C">
        <w:t xml:space="preserve">, </w:t>
      </w:r>
      <w:proofErr w:type="spellStart"/>
      <w:r w:rsidRPr="000D698C">
        <w:t>rekanan</w:t>
      </w:r>
      <w:proofErr w:type="spellEnd"/>
      <w:r w:rsidRPr="000D698C">
        <w:t xml:space="preserve"> </w:t>
      </w:r>
      <w:proofErr w:type="spellStart"/>
      <w:r w:rsidRPr="000D698C">
        <w:t>bisnis</w:t>
      </w:r>
      <w:proofErr w:type="spellEnd"/>
      <w:r w:rsidRPr="000D698C">
        <w:t xml:space="preserve"> </w:t>
      </w:r>
      <w:proofErr w:type="spellStart"/>
      <w:r w:rsidRPr="000D698C">
        <w:t>ini</w:t>
      </w:r>
      <w:proofErr w:type="spellEnd"/>
      <w:r w:rsidRPr="000D698C">
        <w:t xml:space="preserve"> </w:t>
      </w:r>
      <w:proofErr w:type="spellStart"/>
      <w:proofErr w:type="gramStart"/>
      <w:r w:rsidRPr="000D698C">
        <w:t>akan</w:t>
      </w:r>
      <w:proofErr w:type="spellEnd"/>
      <w:proofErr w:type="gramEnd"/>
      <w:r w:rsidRPr="000D698C">
        <w:t xml:space="preserve"> </w:t>
      </w:r>
      <w:proofErr w:type="spellStart"/>
      <w:r w:rsidRPr="000D698C">
        <w:t>memberikan</w:t>
      </w:r>
      <w:proofErr w:type="spellEnd"/>
      <w:r w:rsidRPr="000D698C">
        <w:t xml:space="preserve"> </w:t>
      </w:r>
      <w:proofErr w:type="spellStart"/>
      <w:r w:rsidRPr="000D698C">
        <w:t>pertanggungjawaban</w:t>
      </w:r>
      <w:proofErr w:type="spellEnd"/>
      <w:r w:rsidRPr="000D698C">
        <w:t xml:space="preserve"> </w:t>
      </w:r>
      <w:proofErr w:type="spellStart"/>
      <w:r w:rsidRPr="000D698C">
        <w:t>kepadanya</w:t>
      </w:r>
      <w:proofErr w:type="spellEnd"/>
      <w:r w:rsidRPr="000D698C">
        <w:t xml:space="preserve">. </w:t>
      </w:r>
      <w:proofErr w:type="spellStart"/>
      <w:r w:rsidRPr="000D698C">
        <w:t>Pengusaha</w:t>
      </w:r>
      <w:proofErr w:type="spellEnd"/>
      <w:r w:rsidRPr="000D698C">
        <w:t xml:space="preserve"> yang </w:t>
      </w:r>
      <w:proofErr w:type="spellStart"/>
      <w:r w:rsidRPr="000D698C">
        <w:t>secara</w:t>
      </w:r>
      <w:proofErr w:type="spellEnd"/>
      <w:r w:rsidRPr="000D698C">
        <w:t xml:space="preserve"> </w:t>
      </w:r>
      <w:proofErr w:type="spellStart"/>
      <w:r w:rsidRPr="000D698C">
        <w:t>efektif</w:t>
      </w:r>
      <w:proofErr w:type="spellEnd"/>
      <w:r w:rsidRPr="000D698C">
        <w:t xml:space="preserve"> </w:t>
      </w:r>
      <w:proofErr w:type="spellStart"/>
      <w:r w:rsidRPr="000D698C">
        <w:t>mengelola</w:t>
      </w:r>
      <w:proofErr w:type="spellEnd"/>
      <w:r w:rsidRPr="000D698C">
        <w:t xml:space="preserve"> </w:t>
      </w:r>
      <w:proofErr w:type="spellStart"/>
      <w:r w:rsidRPr="000D698C">
        <w:t>pendanaan</w:t>
      </w:r>
      <w:proofErr w:type="spellEnd"/>
      <w:r w:rsidRPr="000D698C">
        <w:t xml:space="preserve"> </w:t>
      </w:r>
      <w:proofErr w:type="spellStart"/>
      <w:r w:rsidRPr="000D698C">
        <w:t>adalah</w:t>
      </w:r>
      <w:proofErr w:type="spellEnd"/>
      <w:r w:rsidRPr="000D698C">
        <w:t xml:space="preserve"> orang yang </w:t>
      </w:r>
      <w:proofErr w:type="spellStart"/>
      <w:r w:rsidRPr="000D698C">
        <w:t>memiliki</w:t>
      </w:r>
      <w:proofErr w:type="spellEnd"/>
      <w:r w:rsidRPr="000D698C">
        <w:t xml:space="preserve"> </w:t>
      </w:r>
      <w:proofErr w:type="spellStart"/>
      <w:r w:rsidRPr="000D698C">
        <w:t>tanggungjawab</w:t>
      </w:r>
      <w:proofErr w:type="spellEnd"/>
      <w:r w:rsidRPr="000D698C">
        <w:t xml:space="preserve"> </w:t>
      </w:r>
      <w:proofErr w:type="spellStart"/>
      <w:r w:rsidRPr="000D698C">
        <w:t>mewujudkan</w:t>
      </w:r>
      <w:proofErr w:type="spellEnd"/>
      <w:r w:rsidRPr="000D698C">
        <w:t xml:space="preserve"> </w:t>
      </w:r>
      <w:proofErr w:type="spellStart"/>
      <w:r w:rsidRPr="000D698C">
        <w:t>keuntungan</w:t>
      </w:r>
      <w:proofErr w:type="spellEnd"/>
      <w:r w:rsidRPr="000D698C">
        <w:t xml:space="preserve"> </w:t>
      </w:r>
      <w:proofErr w:type="spellStart"/>
      <w:r>
        <w:t>berlipat</w:t>
      </w:r>
      <w:proofErr w:type="spellEnd"/>
      <w:r>
        <w:t xml:space="preserve"> </w:t>
      </w:r>
      <w:proofErr w:type="spellStart"/>
      <w:proofErr w:type="gramStart"/>
      <w:r>
        <w:t>ganda</w:t>
      </w:r>
      <w:proofErr w:type="spellEnd"/>
      <w:r>
        <w:t xml:space="preserve"> </w:t>
      </w:r>
      <w:r w:rsidRPr="000D698C">
        <w:t>.</w:t>
      </w:r>
      <w:proofErr w:type="gramEnd"/>
      <w:r w:rsidRPr="000D698C">
        <w:t xml:space="preserve">  </w:t>
      </w:r>
      <w:proofErr w:type="spellStart"/>
      <w:r w:rsidRPr="000D698C">
        <w:t>Satu</w:t>
      </w:r>
      <w:proofErr w:type="spellEnd"/>
      <w:r w:rsidRPr="000D698C">
        <w:t xml:space="preserve"> </w:t>
      </w:r>
      <w:proofErr w:type="spellStart"/>
      <w:r w:rsidRPr="000D698C">
        <w:rPr>
          <w:i/>
          <w:iCs/>
        </w:rPr>
        <w:t>talenta</w:t>
      </w:r>
      <w:proofErr w:type="spellEnd"/>
      <w:r w:rsidRPr="000D698C">
        <w:rPr>
          <w:i/>
          <w:iCs/>
        </w:rPr>
        <w:t xml:space="preserve"> </w:t>
      </w:r>
      <w:proofErr w:type="spellStart"/>
      <w:r w:rsidRPr="000D698C">
        <w:t>setara</w:t>
      </w:r>
      <w:proofErr w:type="spellEnd"/>
      <w:r w:rsidRPr="000D698C">
        <w:t xml:space="preserve"> </w:t>
      </w:r>
      <w:proofErr w:type="spellStart"/>
      <w:r w:rsidRPr="000D698C">
        <w:t>dengan</w:t>
      </w:r>
      <w:proofErr w:type="spellEnd"/>
      <w:r w:rsidRPr="000D698C">
        <w:t xml:space="preserve"> 36 kilogram </w:t>
      </w:r>
      <w:proofErr w:type="spellStart"/>
      <w:r w:rsidRPr="000D698C">
        <w:t>emas</w:t>
      </w:r>
      <w:proofErr w:type="spellEnd"/>
      <w:r w:rsidRPr="000D698C">
        <w:t xml:space="preserve"> </w:t>
      </w:r>
      <w:proofErr w:type="spellStart"/>
      <w:r w:rsidRPr="000D698C">
        <w:t>atau</w:t>
      </w:r>
      <w:proofErr w:type="spellEnd"/>
      <w:r w:rsidRPr="000D698C">
        <w:t xml:space="preserve"> </w:t>
      </w:r>
      <w:proofErr w:type="spellStart"/>
      <w:r w:rsidRPr="000D698C">
        <w:t>bernilai</w:t>
      </w:r>
      <w:proofErr w:type="spellEnd"/>
      <w:r w:rsidRPr="000D698C">
        <w:t xml:space="preserve"> 6000 dinar. </w:t>
      </w:r>
      <w:proofErr w:type="spellStart"/>
      <w:r w:rsidRPr="000D698C">
        <w:t>Ketika</w:t>
      </w:r>
      <w:proofErr w:type="spellEnd"/>
      <w:r w:rsidRPr="000D698C">
        <w:t xml:space="preserve"> </w:t>
      </w:r>
      <w:proofErr w:type="spellStart"/>
      <w:r w:rsidRPr="000D698C">
        <w:t>satu</w:t>
      </w:r>
      <w:proofErr w:type="spellEnd"/>
      <w:r w:rsidRPr="000D698C">
        <w:t xml:space="preserve"> dinar </w:t>
      </w:r>
      <w:proofErr w:type="spellStart"/>
      <w:r w:rsidRPr="000D698C">
        <w:t>dikonversi</w:t>
      </w:r>
      <w:proofErr w:type="spellEnd"/>
      <w:r w:rsidRPr="000D698C">
        <w:t xml:space="preserve"> </w:t>
      </w:r>
      <w:proofErr w:type="spellStart"/>
      <w:r w:rsidRPr="000D698C">
        <w:t>ke</w:t>
      </w:r>
      <w:proofErr w:type="spellEnd"/>
      <w:r w:rsidRPr="000D698C">
        <w:t xml:space="preserve"> Rupiah Indonesia, </w:t>
      </w:r>
      <w:proofErr w:type="spellStart"/>
      <w:r w:rsidRPr="000D698C">
        <w:t>jumlahnya</w:t>
      </w:r>
      <w:proofErr w:type="spellEnd"/>
      <w:r w:rsidRPr="000D698C">
        <w:t xml:space="preserve"> </w:t>
      </w:r>
      <w:proofErr w:type="spellStart"/>
      <w:r w:rsidRPr="000D698C">
        <w:t>mencapai</w:t>
      </w:r>
      <w:proofErr w:type="spellEnd"/>
      <w:r w:rsidRPr="000D698C">
        <w:t xml:space="preserve"> </w:t>
      </w:r>
      <w:proofErr w:type="spellStart"/>
      <w:r w:rsidRPr="000D698C">
        <w:t>Rp</w:t>
      </w:r>
      <w:proofErr w:type="spellEnd"/>
      <w:r w:rsidRPr="000D698C">
        <w:t xml:space="preserve">. 53.389,18 x 6000 = 320.335.080. Tuan </w:t>
      </w:r>
      <w:proofErr w:type="spellStart"/>
      <w:r w:rsidRPr="000D698C">
        <w:t>pemilik</w:t>
      </w:r>
      <w:proofErr w:type="spellEnd"/>
      <w:r w:rsidRPr="000D698C">
        <w:t xml:space="preserve"> modal </w:t>
      </w:r>
      <w:proofErr w:type="spellStart"/>
      <w:r w:rsidRPr="000D698C">
        <w:t>adalah</w:t>
      </w:r>
      <w:proofErr w:type="spellEnd"/>
      <w:r w:rsidRPr="000D698C">
        <w:t xml:space="preserve"> </w:t>
      </w:r>
      <w:proofErr w:type="spellStart"/>
      <w:r w:rsidRPr="000D698C">
        <w:t>oknum</w:t>
      </w:r>
      <w:proofErr w:type="spellEnd"/>
      <w:r w:rsidRPr="000D698C">
        <w:t xml:space="preserve"> yang </w:t>
      </w:r>
      <w:proofErr w:type="spellStart"/>
      <w:r w:rsidRPr="000D698C">
        <w:t>murah</w:t>
      </w:r>
      <w:proofErr w:type="spellEnd"/>
      <w:r w:rsidRPr="000D698C">
        <w:t xml:space="preserve"> </w:t>
      </w:r>
      <w:proofErr w:type="spellStart"/>
      <w:r w:rsidRPr="000D698C">
        <w:t>hati</w:t>
      </w:r>
      <w:proofErr w:type="spellEnd"/>
      <w:r w:rsidRPr="000D698C">
        <w:t xml:space="preserve"> </w:t>
      </w:r>
      <w:proofErr w:type="spellStart"/>
      <w:proofErr w:type="gramStart"/>
      <w:r w:rsidRPr="000D698C">
        <w:t>rela</w:t>
      </w:r>
      <w:proofErr w:type="spellEnd"/>
      <w:r w:rsidRPr="000D698C">
        <w:t xml:space="preserve">  </w:t>
      </w:r>
      <w:proofErr w:type="spellStart"/>
      <w:r w:rsidRPr="000D698C">
        <w:t>mengalokasikan</w:t>
      </w:r>
      <w:proofErr w:type="spellEnd"/>
      <w:proofErr w:type="gramEnd"/>
      <w:r w:rsidRPr="000D698C">
        <w:t xml:space="preserve"> </w:t>
      </w:r>
      <w:proofErr w:type="spellStart"/>
      <w:r w:rsidRPr="000D698C">
        <w:t>dana</w:t>
      </w:r>
      <w:proofErr w:type="spellEnd"/>
      <w:r w:rsidRPr="000D698C">
        <w:t xml:space="preserve"> </w:t>
      </w:r>
      <w:proofErr w:type="spellStart"/>
      <w:r w:rsidRPr="000D698C">
        <w:t>besar</w:t>
      </w:r>
      <w:proofErr w:type="spellEnd"/>
      <w:r w:rsidRPr="000D698C">
        <w:t xml:space="preserve"> </w:t>
      </w:r>
      <w:proofErr w:type="spellStart"/>
      <w:r w:rsidRPr="000D698C">
        <w:t>kepada</w:t>
      </w:r>
      <w:proofErr w:type="spellEnd"/>
      <w:r w:rsidRPr="000D698C">
        <w:t xml:space="preserve">  </w:t>
      </w:r>
      <w:proofErr w:type="spellStart"/>
      <w:r w:rsidRPr="000D698C">
        <w:t>mitra</w:t>
      </w:r>
      <w:proofErr w:type="spellEnd"/>
      <w:r w:rsidRPr="000D698C">
        <w:t xml:space="preserve"> </w:t>
      </w:r>
      <w:proofErr w:type="spellStart"/>
      <w:r w:rsidRPr="000D698C">
        <w:t>bisnis</w:t>
      </w:r>
      <w:proofErr w:type="spellEnd"/>
      <w:r w:rsidRPr="000D698C">
        <w:t xml:space="preserve">. </w:t>
      </w:r>
      <w:proofErr w:type="spellStart"/>
      <w:r w:rsidRPr="000D698C">
        <w:t>Namun</w:t>
      </w:r>
      <w:proofErr w:type="spellEnd"/>
      <w:r w:rsidRPr="000D698C">
        <w:t xml:space="preserve">, </w:t>
      </w:r>
      <w:proofErr w:type="spellStart"/>
      <w:r w:rsidRPr="000D698C">
        <w:t>mitra</w:t>
      </w:r>
      <w:proofErr w:type="spellEnd"/>
      <w:r w:rsidRPr="000D698C">
        <w:t xml:space="preserve"> yang </w:t>
      </w:r>
      <w:proofErr w:type="spellStart"/>
      <w:r w:rsidRPr="000D698C">
        <w:t>menerima</w:t>
      </w:r>
      <w:proofErr w:type="spellEnd"/>
      <w:r w:rsidRPr="000D698C">
        <w:t xml:space="preserve"> </w:t>
      </w:r>
      <w:proofErr w:type="spellStart"/>
      <w:r w:rsidRPr="000D698C">
        <w:t>satu</w:t>
      </w:r>
      <w:proofErr w:type="spellEnd"/>
      <w:r w:rsidRPr="000D698C">
        <w:t xml:space="preserve"> </w:t>
      </w:r>
      <w:proofErr w:type="spellStart"/>
      <w:r w:rsidRPr="000D698C">
        <w:t>talenta</w:t>
      </w:r>
      <w:proofErr w:type="spellEnd"/>
      <w:r w:rsidRPr="000D698C">
        <w:t xml:space="preserve"> </w:t>
      </w:r>
      <w:proofErr w:type="spellStart"/>
      <w:r w:rsidRPr="000D698C">
        <w:t>menunjukkan</w:t>
      </w:r>
      <w:proofErr w:type="spellEnd"/>
      <w:r w:rsidRPr="000D698C">
        <w:t xml:space="preserve"> </w:t>
      </w:r>
      <w:proofErr w:type="spellStart"/>
      <w:r w:rsidRPr="000D698C">
        <w:t>kinerja</w:t>
      </w:r>
      <w:proofErr w:type="spellEnd"/>
      <w:r w:rsidRPr="000D698C">
        <w:t xml:space="preserve"> yang </w:t>
      </w:r>
      <w:proofErr w:type="spellStart"/>
      <w:r w:rsidRPr="000D698C">
        <w:t>tidak</w:t>
      </w:r>
      <w:proofErr w:type="spellEnd"/>
      <w:r w:rsidRPr="000D698C">
        <w:t xml:space="preserve"> </w:t>
      </w:r>
      <w:proofErr w:type="spellStart"/>
      <w:r w:rsidRPr="000D698C">
        <w:t>memuaskan</w:t>
      </w:r>
      <w:proofErr w:type="spellEnd"/>
      <w:r w:rsidRPr="000D698C">
        <w:t xml:space="preserve">. </w:t>
      </w:r>
      <w:proofErr w:type="spellStart"/>
      <w:r w:rsidRPr="000D698C">
        <w:t>Ia</w:t>
      </w:r>
      <w:proofErr w:type="spellEnd"/>
      <w:r w:rsidRPr="000D698C">
        <w:t xml:space="preserve"> </w:t>
      </w:r>
      <w:proofErr w:type="spellStart"/>
      <w:r w:rsidRPr="000D698C">
        <w:t>menyimpan</w:t>
      </w:r>
      <w:proofErr w:type="spellEnd"/>
      <w:r w:rsidRPr="000D698C">
        <w:t xml:space="preserve"> </w:t>
      </w:r>
      <w:proofErr w:type="spellStart"/>
      <w:r w:rsidRPr="000D698C">
        <w:t>pikiran</w:t>
      </w:r>
      <w:proofErr w:type="spellEnd"/>
      <w:r w:rsidRPr="000D698C">
        <w:t xml:space="preserve"> </w:t>
      </w:r>
      <w:proofErr w:type="spellStart"/>
      <w:r w:rsidRPr="000D698C">
        <w:t>negatif</w:t>
      </w:r>
      <w:proofErr w:type="spellEnd"/>
      <w:r w:rsidRPr="000D698C">
        <w:t xml:space="preserve"> </w:t>
      </w:r>
      <w:proofErr w:type="spellStart"/>
      <w:r w:rsidRPr="000D698C">
        <w:t>terhadap</w:t>
      </w:r>
      <w:proofErr w:type="spellEnd"/>
      <w:r w:rsidRPr="000D698C">
        <w:t xml:space="preserve"> </w:t>
      </w:r>
      <w:proofErr w:type="spellStart"/>
      <w:r w:rsidRPr="000D698C">
        <w:t>pemilik</w:t>
      </w:r>
      <w:proofErr w:type="spellEnd"/>
      <w:r w:rsidRPr="000D698C">
        <w:t xml:space="preserve"> modal, </w:t>
      </w:r>
      <w:proofErr w:type="spellStart"/>
      <w:r w:rsidRPr="000D698C">
        <w:t>dengan</w:t>
      </w:r>
      <w:proofErr w:type="spellEnd"/>
      <w:r w:rsidRPr="000D698C">
        <w:t xml:space="preserve"> </w:t>
      </w:r>
      <w:proofErr w:type="spellStart"/>
      <w:r w:rsidRPr="000D698C">
        <w:t>tuduhan</w:t>
      </w:r>
      <w:proofErr w:type="spellEnd"/>
      <w:r w:rsidRPr="000D698C">
        <w:t xml:space="preserve"> </w:t>
      </w:r>
      <w:proofErr w:type="spellStart"/>
      <w:r w:rsidRPr="000D698C">
        <w:t>sebagai</w:t>
      </w:r>
      <w:proofErr w:type="spellEnd"/>
      <w:r w:rsidRPr="000D698C">
        <w:t xml:space="preserve"> orang </w:t>
      </w:r>
      <w:proofErr w:type="gramStart"/>
      <w:r w:rsidRPr="000D698C">
        <w:t xml:space="preserve">yang  </w:t>
      </w:r>
      <w:proofErr w:type="spellStart"/>
      <w:r w:rsidRPr="000D698C">
        <w:t>eksploitatif</w:t>
      </w:r>
      <w:proofErr w:type="spellEnd"/>
      <w:proofErr w:type="gramEnd"/>
      <w:r w:rsidRPr="000D698C">
        <w:t xml:space="preserve"> </w:t>
      </w:r>
      <w:proofErr w:type="spellStart"/>
      <w:r w:rsidRPr="000D698C">
        <w:t>dan</w:t>
      </w:r>
      <w:proofErr w:type="spellEnd"/>
      <w:r w:rsidRPr="000D698C">
        <w:t xml:space="preserve"> </w:t>
      </w:r>
      <w:proofErr w:type="spellStart"/>
      <w:r w:rsidRPr="000D698C">
        <w:t>tidak</w:t>
      </w:r>
      <w:proofErr w:type="spellEnd"/>
      <w:r w:rsidRPr="000D698C">
        <w:t xml:space="preserve"> </w:t>
      </w:r>
      <w:proofErr w:type="spellStart"/>
      <w:r w:rsidRPr="000D698C">
        <w:t>adil</w:t>
      </w:r>
      <w:proofErr w:type="spellEnd"/>
      <w:r w:rsidRPr="000D698C">
        <w:t xml:space="preserve">. </w:t>
      </w:r>
    </w:p>
    <w:p w14:paraId="570F4814" w14:textId="77777777" w:rsidR="002C3752" w:rsidRPr="000D698C" w:rsidRDefault="002C3752" w:rsidP="002C3752">
      <w:pPr>
        <w:pStyle w:val="NormalWeb"/>
        <w:jc w:val="both"/>
      </w:pPr>
      <w:r>
        <w:tab/>
      </w:r>
      <w:proofErr w:type="spellStart"/>
      <w:r w:rsidRPr="000D698C">
        <w:t>Mitra</w:t>
      </w:r>
      <w:proofErr w:type="spellEnd"/>
      <w:r w:rsidRPr="000D698C">
        <w:t xml:space="preserve"> </w:t>
      </w:r>
      <w:proofErr w:type="spellStart"/>
      <w:r w:rsidRPr="000D698C">
        <w:t>bisnis</w:t>
      </w:r>
      <w:proofErr w:type="spellEnd"/>
      <w:r w:rsidRPr="000D698C">
        <w:t xml:space="preserve"> </w:t>
      </w:r>
      <w:proofErr w:type="spellStart"/>
      <w:r w:rsidRPr="000D698C">
        <w:t>seperti</w:t>
      </w:r>
      <w:proofErr w:type="spellEnd"/>
      <w:r w:rsidRPr="000D698C">
        <w:t xml:space="preserve"> </w:t>
      </w:r>
      <w:proofErr w:type="spellStart"/>
      <w:r w:rsidRPr="000D698C">
        <w:t>ini</w:t>
      </w:r>
      <w:proofErr w:type="spellEnd"/>
      <w:r w:rsidRPr="000D698C">
        <w:t xml:space="preserve"> </w:t>
      </w:r>
      <w:proofErr w:type="spellStart"/>
      <w:r w:rsidRPr="000D698C">
        <w:t>bermasalah</w:t>
      </w:r>
      <w:proofErr w:type="spellEnd"/>
      <w:r w:rsidRPr="000D698C">
        <w:t xml:space="preserve"> </w:t>
      </w:r>
      <w:proofErr w:type="spellStart"/>
      <w:r w:rsidRPr="000D698C">
        <w:t>secara</w:t>
      </w:r>
      <w:proofErr w:type="spellEnd"/>
      <w:r w:rsidRPr="000D698C">
        <w:t xml:space="preserve"> </w:t>
      </w:r>
      <w:proofErr w:type="spellStart"/>
      <w:r w:rsidRPr="000D698C">
        <w:t>etika</w:t>
      </w:r>
      <w:proofErr w:type="spellEnd"/>
      <w:r w:rsidRPr="000D698C">
        <w:t xml:space="preserve">. </w:t>
      </w:r>
      <w:proofErr w:type="spellStart"/>
      <w:r w:rsidRPr="000D698C">
        <w:t>Mengecewakan</w:t>
      </w:r>
      <w:proofErr w:type="spellEnd"/>
      <w:r w:rsidRPr="000D698C">
        <w:t xml:space="preserve"> </w:t>
      </w:r>
      <w:proofErr w:type="spellStart"/>
      <w:r w:rsidRPr="000D698C">
        <w:t>pemilik</w:t>
      </w:r>
      <w:proofErr w:type="spellEnd"/>
      <w:r w:rsidRPr="000D698C">
        <w:t xml:space="preserve"> modal </w:t>
      </w:r>
      <w:proofErr w:type="spellStart"/>
      <w:r w:rsidRPr="000D698C">
        <w:t>dengan</w:t>
      </w:r>
      <w:proofErr w:type="spellEnd"/>
      <w:r w:rsidRPr="000D698C">
        <w:t xml:space="preserve"> </w:t>
      </w:r>
      <w:proofErr w:type="spellStart"/>
      <w:r w:rsidRPr="000D698C">
        <w:t>tindakannya</w:t>
      </w:r>
      <w:proofErr w:type="spellEnd"/>
      <w:r w:rsidRPr="000D698C">
        <w:t xml:space="preserve"> </w:t>
      </w:r>
      <w:proofErr w:type="spellStart"/>
      <w:r w:rsidRPr="000D698C">
        <w:t>tidak</w:t>
      </w:r>
      <w:proofErr w:type="spellEnd"/>
      <w:r w:rsidRPr="000D698C">
        <w:t xml:space="preserve"> </w:t>
      </w:r>
      <w:proofErr w:type="spellStart"/>
      <w:r w:rsidRPr="000D698C">
        <w:t>hanya</w:t>
      </w:r>
      <w:proofErr w:type="spellEnd"/>
      <w:r w:rsidRPr="000D698C">
        <w:t xml:space="preserve"> </w:t>
      </w:r>
      <w:proofErr w:type="spellStart"/>
      <w:r w:rsidRPr="000D698C">
        <w:t>merugikan</w:t>
      </w:r>
      <w:proofErr w:type="spellEnd"/>
      <w:r w:rsidRPr="000D698C">
        <w:t xml:space="preserve"> </w:t>
      </w:r>
      <w:proofErr w:type="spellStart"/>
      <w:r w:rsidRPr="000D698C">
        <w:t>diri</w:t>
      </w:r>
      <w:proofErr w:type="spellEnd"/>
      <w:r w:rsidRPr="000D698C">
        <w:t xml:space="preserve"> </w:t>
      </w:r>
      <w:proofErr w:type="spellStart"/>
      <w:r w:rsidRPr="000D698C">
        <w:t>sendiri</w:t>
      </w:r>
      <w:proofErr w:type="spellEnd"/>
      <w:r w:rsidRPr="000D698C">
        <w:t xml:space="preserve"> </w:t>
      </w:r>
      <w:proofErr w:type="spellStart"/>
      <w:r w:rsidRPr="000D698C">
        <w:t>tetapi</w:t>
      </w:r>
      <w:proofErr w:type="spellEnd"/>
      <w:r w:rsidRPr="000D698C">
        <w:t xml:space="preserve"> </w:t>
      </w:r>
      <w:proofErr w:type="spellStart"/>
      <w:r w:rsidRPr="000D698C">
        <w:t>juga</w:t>
      </w:r>
      <w:proofErr w:type="spellEnd"/>
      <w:r w:rsidRPr="000D698C">
        <w:t xml:space="preserve"> </w:t>
      </w:r>
      <w:proofErr w:type="spellStart"/>
      <w:r w:rsidRPr="000D698C">
        <w:t>menghalangi</w:t>
      </w:r>
      <w:proofErr w:type="spellEnd"/>
      <w:r w:rsidRPr="000D698C">
        <w:t xml:space="preserve"> </w:t>
      </w:r>
      <w:proofErr w:type="spellStart"/>
      <w:r w:rsidRPr="000D698C">
        <w:t>pemodal</w:t>
      </w:r>
      <w:proofErr w:type="spellEnd"/>
      <w:r w:rsidRPr="000D698C">
        <w:t xml:space="preserve"> </w:t>
      </w:r>
      <w:proofErr w:type="spellStart"/>
      <w:r w:rsidRPr="000D698C">
        <w:t>menuai</w:t>
      </w:r>
      <w:proofErr w:type="spellEnd"/>
      <w:r w:rsidRPr="000D698C">
        <w:t xml:space="preserve"> </w:t>
      </w:r>
      <w:proofErr w:type="spellStart"/>
      <w:r w:rsidRPr="000D698C">
        <w:t>keuntungan</w:t>
      </w:r>
      <w:proofErr w:type="spellEnd"/>
      <w:r w:rsidRPr="000D698C">
        <w:t xml:space="preserve">. </w:t>
      </w:r>
      <w:proofErr w:type="spellStart"/>
      <w:r w:rsidRPr="000D698C">
        <w:t>Entitas</w:t>
      </w:r>
      <w:proofErr w:type="spellEnd"/>
      <w:r w:rsidRPr="000D698C">
        <w:t xml:space="preserve"> </w:t>
      </w:r>
      <w:proofErr w:type="spellStart"/>
      <w:r w:rsidRPr="000D698C">
        <w:t>ilahi</w:t>
      </w:r>
      <w:proofErr w:type="spellEnd"/>
      <w:r w:rsidRPr="000D698C">
        <w:t xml:space="preserve"> </w:t>
      </w:r>
      <w:proofErr w:type="spellStart"/>
      <w:r w:rsidRPr="000D698C">
        <w:t>adalah</w:t>
      </w:r>
      <w:proofErr w:type="spellEnd"/>
      <w:r w:rsidRPr="000D698C">
        <w:t xml:space="preserve"> </w:t>
      </w:r>
      <w:proofErr w:type="spellStart"/>
      <w:r w:rsidRPr="000D698C">
        <w:t>pemilik</w:t>
      </w:r>
      <w:proofErr w:type="spellEnd"/>
      <w:r w:rsidRPr="000D698C">
        <w:t xml:space="preserve"> modal, </w:t>
      </w:r>
      <w:proofErr w:type="spellStart"/>
      <w:r w:rsidRPr="000D698C">
        <w:t>dengan</w:t>
      </w:r>
      <w:proofErr w:type="spellEnd"/>
      <w:r w:rsidRPr="000D698C">
        <w:t xml:space="preserve"> </w:t>
      </w:r>
      <w:proofErr w:type="spellStart"/>
      <w:r w:rsidRPr="000D698C">
        <w:t>rela</w:t>
      </w:r>
      <w:proofErr w:type="spellEnd"/>
      <w:r w:rsidRPr="000D698C">
        <w:t xml:space="preserve"> </w:t>
      </w:r>
      <w:proofErr w:type="spellStart"/>
      <w:r w:rsidRPr="000D698C">
        <w:t>membagikan</w:t>
      </w:r>
      <w:proofErr w:type="spellEnd"/>
      <w:r w:rsidRPr="000D698C">
        <w:t xml:space="preserve"> </w:t>
      </w:r>
      <w:proofErr w:type="spellStart"/>
      <w:r w:rsidRPr="000D698C">
        <w:t>kekayaan</w:t>
      </w:r>
      <w:proofErr w:type="spellEnd"/>
      <w:r w:rsidRPr="000D698C">
        <w:t xml:space="preserve">-Nya </w:t>
      </w:r>
      <w:proofErr w:type="spellStart"/>
      <w:r w:rsidRPr="000D698C">
        <w:t>kepada</w:t>
      </w:r>
      <w:proofErr w:type="spellEnd"/>
      <w:r w:rsidRPr="000D698C">
        <w:t xml:space="preserve"> </w:t>
      </w:r>
      <w:proofErr w:type="spellStart"/>
      <w:r w:rsidRPr="000D698C">
        <w:t>umat</w:t>
      </w:r>
      <w:proofErr w:type="spellEnd"/>
      <w:r w:rsidRPr="000D698C">
        <w:t xml:space="preserve"> </w:t>
      </w:r>
      <w:proofErr w:type="spellStart"/>
      <w:r w:rsidRPr="000D698C">
        <w:t>manusia</w:t>
      </w:r>
      <w:proofErr w:type="spellEnd"/>
      <w:r w:rsidRPr="000D698C">
        <w:t xml:space="preserve"> </w:t>
      </w:r>
      <w:proofErr w:type="spellStart"/>
      <w:r w:rsidRPr="000D698C">
        <w:t>untuk</w:t>
      </w:r>
      <w:proofErr w:type="spellEnd"/>
      <w:r w:rsidRPr="000D698C">
        <w:t xml:space="preserve"> </w:t>
      </w:r>
      <w:proofErr w:type="spellStart"/>
      <w:r w:rsidRPr="000D698C">
        <w:t>mempromosikan</w:t>
      </w:r>
      <w:proofErr w:type="spellEnd"/>
      <w:r w:rsidRPr="000D698C">
        <w:t xml:space="preserve"> </w:t>
      </w:r>
      <w:proofErr w:type="spellStart"/>
      <w:r w:rsidRPr="000D698C">
        <w:t>kemakmuran</w:t>
      </w:r>
      <w:proofErr w:type="spellEnd"/>
      <w:r w:rsidRPr="000D698C">
        <w:t xml:space="preserve"> </w:t>
      </w:r>
      <w:proofErr w:type="spellStart"/>
      <w:r w:rsidRPr="000D698C">
        <w:t>dan</w:t>
      </w:r>
      <w:proofErr w:type="spellEnd"/>
      <w:r w:rsidRPr="000D698C">
        <w:t xml:space="preserve"> </w:t>
      </w:r>
      <w:proofErr w:type="spellStart"/>
      <w:r w:rsidRPr="000D698C">
        <w:t>kelimpahan</w:t>
      </w:r>
      <w:proofErr w:type="spellEnd"/>
      <w:r w:rsidRPr="000D698C">
        <w:t xml:space="preserve">. </w:t>
      </w:r>
      <w:proofErr w:type="spellStart"/>
      <w:r w:rsidRPr="000D698C">
        <w:t>Mereka</w:t>
      </w:r>
      <w:proofErr w:type="spellEnd"/>
      <w:r w:rsidRPr="000D698C">
        <w:t xml:space="preserve"> yang </w:t>
      </w:r>
      <w:proofErr w:type="spellStart"/>
      <w:r w:rsidRPr="000D698C">
        <w:t>rajin</w:t>
      </w:r>
      <w:proofErr w:type="spellEnd"/>
      <w:r w:rsidRPr="000D698C">
        <w:t xml:space="preserve"> </w:t>
      </w:r>
      <w:proofErr w:type="spellStart"/>
      <w:r w:rsidRPr="000D698C">
        <w:t>mengelola</w:t>
      </w:r>
      <w:proofErr w:type="spellEnd"/>
      <w:r w:rsidRPr="000D698C">
        <w:t xml:space="preserve"> </w:t>
      </w:r>
      <w:proofErr w:type="spellStart"/>
      <w:r w:rsidRPr="000D698C">
        <w:t>rahmat</w:t>
      </w:r>
      <w:proofErr w:type="spellEnd"/>
      <w:r w:rsidRPr="000D698C">
        <w:t xml:space="preserve"> </w:t>
      </w:r>
      <w:proofErr w:type="spellStart"/>
      <w:r w:rsidRPr="000D698C">
        <w:t>ini</w:t>
      </w:r>
      <w:proofErr w:type="spellEnd"/>
      <w:r w:rsidRPr="000D698C">
        <w:t xml:space="preserve"> </w:t>
      </w:r>
      <w:proofErr w:type="spellStart"/>
      <w:r w:rsidRPr="000D698C">
        <w:t>dapat</w:t>
      </w:r>
      <w:proofErr w:type="spellEnd"/>
      <w:r w:rsidRPr="000D698C">
        <w:t xml:space="preserve"> </w:t>
      </w:r>
      <w:proofErr w:type="spellStart"/>
      <w:r w:rsidRPr="000D698C">
        <w:t>mencapai</w:t>
      </w:r>
      <w:proofErr w:type="spellEnd"/>
      <w:r w:rsidRPr="000D698C">
        <w:t xml:space="preserve"> </w:t>
      </w:r>
      <w:proofErr w:type="spellStart"/>
      <w:r w:rsidRPr="000D698C">
        <w:t>tujuan</w:t>
      </w:r>
      <w:proofErr w:type="spellEnd"/>
      <w:r w:rsidRPr="000D698C">
        <w:t xml:space="preserve"> </w:t>
      </w:r>
      <w:proofErr w:type="spellStart"/>
      <w:r w:rsidRPr="000D698C">
        <w:t>mereka</w:t>
      </w:r>
      <w:proofErr w:type="spellEnd"/>
      <w:r w:rsidRPr="000D698C">
        <w:t xml:space="preserve">. </w:t>
      </w:r>
      <w:proofErr w:type="spellStart"/>
      <w:r w:rsidRPr="000D698C">
        <w:t>Namun</w:t>
      </w:r>
      <w:proofErr w:type="spellEnd"/>
      <w:r w:rsidRPr="000D698C">
        <w:t xml:space="preserve">, </w:t>
      </w:r>
      <w:proofErr w:type="spellStart"/>
      <w:r w:rsidRPr="000D698C">
        <w:t>ada</w:t>
      </w:r>
      <w:proofErr w:type="spellEnd"/>
      <w:r w:rsidRPr="000D698C">
        <w:t xml:space="preserve"> </w:t>
      </w:r>
      <w:proofErr w:type="spellStart"/>
      <w:r w:rsidRPr="000D698C">
        <w:t>individu</w:t>
      </w:r>
      <w:proofErr w:type="spellEnd"/>
      <w:r w:rsidRPr="000D698C">
        <w:t xml:space="preserve"> yang </w:t>
      </w:r>
      <w:proofErr w:type="spellStart"/>
      <w:r w:rsidRPr="000D698C">
        <w:t>memilih</w:t>
      </w:r>
      <w:proofErr w:type="spellEnd"/>
      <w:r w:rsidRPr="000D698C">
        <w:t xml:space="preserve"> </w:t>
      </w:r>
      <w:proofErr w:type="spellStart"/>
      <w:r w:rsidRPr="000D698C">
        <w:t>kemiskinan</w:t>
      </w:r>
      <w:proofErr w:type="spellEnd"/>
      <w:r w:rsidRPr="000D698C">
        <w:t xml:space="preserve"> </w:t>
      </w:r>
      <w:proofErr w:type="spellStart"/>
      <w:r w:rsidRPr="000D698C">
        <w:t>karena</w:t>
      </w:r>
      <w:proofErr w:type="spellEnd"/>
      <w:r w:rsidRPr="000D698C">
        <w:t xml:space="preserve"> </w:t>
      </w:r>
      <w:proofErr w:type="spellStart"/>
      <w:r w:rsidRPr="000D698C">
        <w:t>kemalasan</w:t>
      </w:r>
      <w:proofErr w:type="spellEnd"/>
      <w:r w:rsidRPr="000D698C">
        <w:t>.</w:t>
      </w:r>
    </w:p>
    <w:p w14:paraId="004D15CA" w14:textId="77777777" w:rsidR="002C3752" w:rsidRPr="000D698C" w:rsidRDefault="002C3752" w:rsidP="002C3752">
      <w:pPr>
        <w:jc w:val="both"/>
        <w:rPr>
          <w:rFonts w:ascii="Times New Roman" w:hAnsi="Times New Roman" w:cs="Times New Roman"/>
          <w:b/>
          <w:bCs/>
          <w:sz w:val="24"/>
          <w:szCs w:val="24"/>
        </w:rPr>
      </w:pPr>
      <w:r w:rsidRPr="000D698C">
        <w:rPr>
          <w:rFonts w:ascii="Times New Roman" w:hAnsi="Times New Roman" w:cs="Times New Roman"/>
          <w:b/>
          <w:bCs/>
          <w:sz w:val="24"/>
          <w:szCs w:val="24"/>
        </w:rPr>
        <w:t xml:space="preserve">Peluang </w:t>
      </w:r>
    </w:p>
    <w:p w14:paraId="284996CA" w14:textId="77777777" w:rsidR="002C3752" w:rsidRPr="000D698C" w:rsidRDefault="002C3752" w:rsidP="002C3752">
      <w:pPr>
        <w:jc w:val="both"/>
        <w:rPr>
          <w:rFonts w:ascii="Times New Roman" w:eastAsia="Times New Roman" w:hAnsi="Times New Roman" w:cs="Times New Roman"/>
          <w:sz w:val="24"/>
          <w:szCs w:val="24"/>
        </w:rPr>
      </w:pPr>
      <w:r w:rsidRPr="000D698C">
        <w:rPr>
          <w:rFonts w:ascii="Times New Roman" w:hAnsi="Times New Roman" w:cs="Times New Roman"/>
          <w:sz w:val="24"/>
          <w:szCs w:val="24"/>
        </w:rPr>
        <w:tab/>
        <w:t>Tidak biasa dalam masyarakat kuno bagi seorang tuan untuk menjalin kemitraan bisnis dengan pelayan mereka. Pelayan terutama ditugaskan untuk melayani dan tidak dipercayakan dengan tanggung jawab seorang tuan. Dalam ayat (21,23), Yesus bertujuan untuk menyampaikan pesan bahwa setiap individu memiliki potensi untuk kebesaran dan kemakmuran. Namun, sukacita dan kemakmuran sejati hanya dapat dicapai oleh mereka yang menunjukkan ketekunan dan inisiatif dalam kerja mereka</w:t>
      </w:r>
      <w:r w:rsidRPr="000D698C">
        <w:rPr>
          <w:rFonts w:ascii="Times New Roman" w:eastAsia="Times New Roman" w:hAnsi="Times New Roman" w:cs="Times New Roman"/>
          <w:sz w:val="24"/>
          <w:szCs w:val="24"/>
        </w:rPr>
        <w:t xml:space="preserve">. </w:t>
      </w:r>
    </w:p>
    <w:p w14:paraId="2A2A83E6" w14:textId="77777777" w:rsidR="002C3752" w:rsidRDefault="002C3752" w:rsidP="002C3752">
      <w:pPr>
        <w:jc w:val="both"/>
        <w:rPr>
          <w:rFonts w:ascii="Times New Roman" w:hAnsi="Times New Roman" w:cs="Times New Roman"/>
          <w:sz w:val="24"/>
          <w:szCs w:val="24"/>
        </w:rPr>
      </w:pPr>
      <w:r w:rsidRPr="000D698C">
        <w:rPr>
          <w:rFonts w:ascii="Times New Roman" w:eastAsia="Times New Roman" w:hAnsi="Times New Roman" w:cs="Times New Roman"/>
          <w:sz w:val="24"/>
          <w:szCs w:val="24"/>
        </w:rPr>
        <w:tab/>
      </w:r>
      <w:r w:rsidRPr="000D698C">
        <w:rPr>
          <w:rFonts w:ascii="Times New Roman" w:hAnsi="Times New Roman" w:cs="Times New Roman"/>
          <w:sz w:val="24"/>
          <w:szCs w:val="24"/>
        </w:rPr>
        <w:t xml:space="preserve">Perumpamaan ini menggambarkan prinsip Kristen yang mendasar. Awalnya, kesempatan itu diberikan tanpa permintaan. Selanjutnya, sangat penting bahwa peluang yang disajikan dimanfaatkan dengan tepat dan efisien. Terakhir, kesempatan menandakan momen yang jarang berulang. Para pengusaha dengan lima dan dua talenta keduanya memanfaatkan peluang yang terpuji. </w:t>
      </w:r>
    </w:p>
    <w:p w14:paraId="3C12DF7A" w14:textId="77777777" w:rsidR="002C3752" w:rsidRPr="00936500" w:rsidRDefault="002C3752" w:rsidP="002C3752">
      <w:pPr>
        <w:jc w:val="both"/>
        <w:rPr>
          <w:rFonts w:ascii="Times New Roman" w:hAnsi="Times New Roman" w:cs="Times New Roman"/>
          <w:color w:val="030303"/>
          <w:sz w:val="24"/>
          <w:szCs w:val="24"/>
          <w:shd w:val="clear" w:color="auto" w:fill="FFFFFF"/>
        </w:rPr>
      </w:pPr>
      <w:r>
        <w:rPr>
          <w:rFonts w:ascii="Segoe UI" w:hAnsi="Segoe UI" w:cs="Segoe UI"/>
          <w:color w:val="030303"/>
          <w:shd w:val="clear" w:color="auto" w:fill="FFFFFF"/>
        </w:rPr>
        <w:tab/>
      </w:r>
      <w:r w:rsidRPr="00936500">
        <w:rPr>
          <w:rFonts w:ascii="Times New Roman" w:hAnsi="Times New Roman" w:cs="Times New Roman"/>
          <w:sz w:val="24"/>
          <w:szCs w:val="24"/>
        </w:rPr>
        <w:t>Kemalasan adalah elemen penghambat yang berbahaya</w:t>
      </w:r>
      <w:r w:rsidRPr="00936500">
        <w:rPr>
          <w:rFonts w:ascii="Times New Roman" w:hAnsi="Times New Roman" w:cs="Times New Roman"/>
          <w:color w:val="030303"/>
          <w:sz w:val="24"/>
          <w:szCs w:val="24"/>
          <w:shd w:val="clear" w:color="auto" w:fill="FFFFFF"/>
        </w:rPr>
        <w:t xml:space="preserve"> Kemalasan yang dicatat dalam konteks teks, telah ditafsirkan dalam berbagai cara, memiliki implikasi sosial-budaya yang signifikan. Istilah “poniro” dalam bahasa Yunani, yang menunjukkan atribut jahat dan licik, sedangkan kata “okniro,” menggambarkan kemalasan. Kedua kata ini mencerminkan demensi  lebih luas terhadap kemalasan, sering dikaitkan dengan kegagalan moral dan ekonomi. Interpretasi ini sejalan dengan analisis historis dan budaya </w:t>
      </w:r>
      <w:r w:rsidRPr="00936500">
        <w:rPr>
          <w:rFonts w:ascii="Times New Roman" w:hAnsi="Times New Roman" w:cs="Times New Roman"/>
          <w:color w:val="030303"/>
          <w:sz w:val="24"/>
          <w:szCs w:val="24"/>
          <w:shd w:val="clear" w:color="auto" w:fill="FFFFFF"/>
        </w:rPr>
        <w:lastRenderedPageBreak/>
        <w:t>kemalasan sebagai fenomena sosial, di mana itu bukan hanya sifat individu tetapi label yang dipengaruhi oleh konteks sosial-budaya, terutama dalam masyarakat kapitalis yang menyamakan produktivitas dengan kebajikan dan kemalasan dengan sifat buruk.</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{"citationItems":[{"id":"ITEM-1","itemData":{"DOI":"10.17234/SOCEKOL.29.1.3","abstract":"The basic intention of this paper is to examine “laziness” as an essentially social phenomenon. Laziness is generally considered to be an attribute of a person as an individual and is, as such, discussed in psychology and medical science primarily through the concept of procrastination. The main argument developed in this article is that laziness is an inherently social phenomenon, because its definition and, consequently, the categorization of an individual as “lazy”, also depends on the socio-cultural context, which places the label of laziness on a particular form of individual’s social action, i.e. lack thereof, while at the same time implying predominantly negative connotations. In this paper, the cultural background of defining laziness is presented, by looking at its religious roots and the relation between the concept of laziness and a particular perception of time. Particular focus is placed on capitalist societies, whose socio-cultural matrix has proven to be suitable for categorizing certain behaviours as lazy. The relation of media and specific lifestyles toward the category of laziness is also problematized. On the conceptual level, the relationship between the concepts of laziness and procrastination, on the one side, but also of laziness and leisure, on the other side, is dissolved. In the second part of the paper, the results of empirical research are presented. The research was conducted in 2018 using semi-structured interviews on a convenient sample (N=15) of male and female students at the Faculty of Humanities and Social Sciences of the University of Zagreb. Despite some epistemological limitations, the research findings indicate different notions on the aspects and dimensions of laziness among interviewed students, representing a robust basis for further necessary and detailed (theoretical and empirical) sociological research of this important socio-cultural phenomenon.","author":[{"dropping-particle":"","family":"Canjek","given":"Luka","non-dropping-particle":"","parse-names":false,"suffix":""},{"dropping-particle":"","family":"Žažar","given":"Krešimir","non-dropping-particle":"","parse-names":false,"suffix":""}],"id":"ITEM-1","issue":"1","issued":{"date-parts":[["2020"]]},"note":"Insights: Tidak dibahas di koran.","page":"49-80","title":"Prema sociologizaciji lijenosti – konceptualne klarifikacije i preliminarni empirijski uvidi","type":"article-journal","volume":"29"},"uris":["http://www.mendeley.com/documents/?uuid=1dccaf09-f2a5-49d4-bd02-4b69989e49e8"]}],"mendeley":{"formattedCitation":"(Canjek &amp; Žažar, 2020)","plainTextFormattedCitation":"(Canjek &amp; Žažar, 2020)","previouslyFormattedCitation":"(Canjek &amp; Žažar, 2020)"},"properties":{"noteIndex":0},"schema":"https://github.com/citation-style-language/schema/raw/master/csl-citation.json"}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bCs/>
          <w:noProof/>
          <w:color w:val="030303"/>
          <w:sz w:val="24"/>
          <w:szCs w:val="24"/>
          <w:shd w:val="clear" w:color="auto" w:fill="FFFFFF"/>
          <w:lang w:val="en-US"/>
        </w:rPr>
        <w:t>(Canjek &amp; Žažar, 2020)</w:t>
      </w:r>
      <w:r>
        <w:rPr>
          <w:rStyle w:val="FootnoteReference"/>
          <w:rFonts w:ascii="Times New Roman" w:hAnsi="Times New Roman" w:cs="Times New Roman"/>
          <w:color w:val="030303"/>
          <w:sz w:val="24"/>
          <w:szCs w:val="24"/>
          <w:shd w:val="clear" w:color="auto" w:fill="FFFFFF"/>
        </w:rPr>
        <w:fldChar w:fldCharType="end"/>
      </w:r>
    </w:p>
    <w:p w14:paraId="3B142BC1" w14:textId="77777777" w:rsidR="002C3752" w:rsidRPr="00936500" w:rsidRDefault="002C3752" w:rsidP="002C3752">
      <w:pPr>
        <w:jc w:val="both"/>
        <w:rPr>
          <w:rFonts w:ascii="Times New Roman" w:hAnsi="Times New Roman" w:cs="Times New Roman"/>
          <w:sz w:val="24"/>
          <w:szCs w:val="24"/>
        </w:rPr>
      </w:pPr>
      <w:r w:rsidRPr="00936500">
        <w:rPr>
          <w:rFonts w:ascii="Times New Roman" w:hAnsi="Times New Roman" w:cs="Times New Roman"/>
          <w:color w:val="030303"/>
          <w:sz w:val="24"/>
          <w:szCs w:val="24"/>
          <w:shd w:val="clear" w:color="auto" w:fill="FFFFFF"/>
        </w:rPr>
        <w:tab/>
        <w:t>Perumpamaan talenta, terutama dalam versinya dalam Lukas, telah dikatakan membawa pesan ganda perlawanan terhadap sistem ekonomi yang menindas, menantang pandangan sederhana bahwa kemiskinan dihasilkan dari kemalasan.</w:t>
      </w:r>
      <w:r>
        <w:rPr>
          <w:rStyle w:val="FootnoteReference"/>
          <w:rFonts w:ascii="Times New Roman" w:hAnsi="Times New Roman" w:cs="Times New Roman"/>
          <w:color w:val="030303"/>
          <w:sz w:val="24"/>
          <w:szCs w:val="24"/>
          <w:shd w:val="clear" w:color="auto" w:fill="FFFFFF"/>
        </w:rPr>
        <w:fldChar w:fldCharType="begin" w:fldLock="1"/>
      </w:r>
      <w:r>
        <w:rPr>
          <w:rFonts w:ascii="Times New Roman" w:hAnsi="Times New Roman" w:cs="Times New Roman"/>
          <w:color w:val="030303"/>
          <w:sz w:val="24"/>
          <w:szCs w:val="24"/>
          <w:shd w:val="clear" w:color="auto" w:fill="FFFFFF"/>
        </w:rPr>
        <w:instrText>ADDIN CSL_CITATION {"citationItems":[{"id":"ITEM-1","itemData":{"DOI":"10.1353/NEO.2019.0013","abstract":"Abstract:This article challenges popular interpretations of the parable of the talents, which underlie economic views blaming poverty on laziness. It carefully compares the versions in Matthew and Luke and argues that the more original version is the one in Luke. This is based on a historical incident, linked to Archelaus, the son of Herod the Great, and makes sense as a story told in the context of Herod-ruled Galilee after the execution of John the Baptist. It argues for the parable as a story of open resistance with a dual message: a \"public\" and a \"hidden\" transcript.","author":[{"dropping-particle":"","family":"Tönsing","given":"J Gertrud","non-dropping-particle":"","parse-names":false,"suffix":""}],"id":"ITEM-1","issue":"1","issued":{"date-parts":[["2019"]]},"note":"Insights: Perumpamaan tentang talenta dalam Matius 25:14-30 dan Lukas 19:11-27 menantang gagasan bahwa kemiskinan semata-mata disebabkan oleh kemalasan. Istilah “hamba yang jahat dan malas” dalam ayat 26 menunjukkan seseorang yang gagal mengenali peluang dan menghindari tugas karena kemalasan. Kata-kata Yunani yang digunakan menyoroti atribut kejahatan, kelicikan, dan kemalasan. Perumpamaan menyampaikan pesan penghakiman, menekankan kesetiaan dan kepatuhan. Ini berfungsi sebagai panggilan kepada murid-murid, mendesak mereka untuk merenungkan komitmen mereka terhadap ajaran dan kesetiaan kepada Tuhan yang adil dan murah hati.","page":"123-147","title":"Scolding the \"Wicked, Lazy\" Servant; Is the Master God?: A Redaction-Critical Study of Matthew 25:14–30 and Luke 19:11–27","type":"article-journal","volume":"53"},"uris":["http://www.mendeley.com/documents/?uuid=e3dbe065-3e22-461d-9099-0ce4086440d6"]}],"mendeley":{"formattedCitation":"(Tönsing, 2019)","plainTextFormattedCitation":"(Tönsing, 2019)","previouslyFormattedCitation":"(Tönsing, 2019)"},"properties":{"noteIndex":0},"schema":"https://github.com/citation-style-language/schema/raw/master/csl-citation.json"}</w:instrText>
      </w:r>
      <w:r>
        <w:rPr>
          <w:rStyle w:val="FootnoteReference"/>
          <w:rFonts w:ascii="Times New Roman" w:hAnsi="Times New Roman" w:cs="Times New Roman"/>
          <w:color w:val="030303"/>
          <w:sz w:val="24"/>
          <w:szCs w:val="24"/>
          <w:shd w:val="clear" w:color="auto" w:fill="FFFFFF"/>
        </w:rPr>
        <w:fldChar w:fldCharType="separate"/>
      </w:r>
      <w:r w:rsidRPr="007C6BFC">
        <w:rPr>
          <w:rFonts w:ascii="Times New Roman" w:hAnsi="Times New Roman" w:cs="Times New Roman"/>
          <w:bCs/>
          <w:noProof/>
          <w:color w:val="030303"/>
          <w:sz w:val="24"/>
          <w:szCs w:val="24"/>
          <w:shd w:val="clear" w:color="auto" w:fill="FFFFFF"/>
          <w:lang w:val="en-US"/>
        </w:rPr>
        <w:t>(Tönsing, 2019)</w:t>
      </w:r>
      <w:r>
        <w:rPr>
          <w:rStyle w:val="FootnoteReference"/>
          <w:rFonts w:ascii="Times New Roman" w:hAnsi="Times New Roman" w:cs="Times New Roman"/>
          <w:color w:val="030303"/>
          <w:sz w:val="24"/>
          <w:szCs w:val="24"/>
          <w:shd w:val="clear" w:color="auto" w:fill="FFFFFF"/>
        </w:rPr>
        <w:fldChar w:fldCharType="end"/>
      </w:r>
      <w:r w:rsidRPr="00936500">
        <w:rPr>
          <w:rFonts w:ascii="Times New Roman" w:hAnsi="Times New Roman" w:cs="Times New Roman"/>
          <w:color w:val="030303"/>
          <w:sz w:val="24"/>
          <w:szCs w:val="24"/>
          <w:shd w:val="clear" w:color="auto" w:fill="FFFFFF"/>
        </w:rPr>
        <w:t xml:space="preserve"> Narasi ini semakin diperumit oleh perspektif romantis dan sastra tentang kemalasan, seperti yang dari I.V. Kireevsky dan AS. Pushkin, yang melihat “kemalasan yang diberkati” sebagai keadaan yang kondusif bagi kreativitas dan pekerjaan internal, sangat kontras dengan konotasi negatif kemalasan dalam wacana ekonomi dan sosial.</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{"citationItems":[{"id":"ITEM-1","itemData":{"DOI":"10.22455/2500-4247-2022-7-1-240-259","abstract":"The article examines the motif of laziness in the friendly correspondence of I.V. Kireevsky in the 1820s–1830s. It turns out that for the future Slavophile the interpretation of this motif, which was widespread in Russian lyric poetry and epistolary of the early 19th century, remained relevant. It was authentic, in particular, for the young A.S. Pushkin — as “blessed laziness” accompanying a creative gift and therefore fruitful, associated with the freedom and happiness of creativity. In many ways, Kireevsky perceived such an understanding of laziness through the prism of romantic culture, and particularly of elegiac romanticism under the influence of its major representative V.A. Zhukovsky, his relative and friend. At the same time, the young epistolographer also adopted the understanding of laziness of his correspondents, such as A.I. Koshelev, A.V. Venevitinov, V.F. Odoevsky and etc. From their point of view, laziness in the chosen field of activity for the good of the Fatherland and laziness in friendly correspondence, where, in fact, it is necessary to report on the results of this activity, is completely unacceptable. Consequently, lack of zeal in correspondence is disturbing because it may indicate lack of zeal in activity. Kireevsky has earned a reputation as an idler among his friends. And, on the one hand, he defended freedom of creativity, the right to internal work in the absence of external work, but on the other hand, he worried and repented in front of his friends in laziness, tried to fight it. The motif of laziness has become the main artistic experiments and achievements of Kireevsky as the epistolographer.","author":[{"dropping-particle":"","family":"Kuzmina","given":"Marina D","non-dropping-particle":"","parse-names":false,"suffix":""}],"container-title":"Studia Litterarum","id":"ITEM-1","issue":"1","issued":{"date-parts":[["2022"]]},"note":"Insights: Tidak dibahas di koran.","page":"240-259","title":"The Motif of Laziness in the Friendly Correspondence of the Young I.V. Kireevsky","type":"article-journal","volume":"7"},"uris":["http://www.mendeley.com/documents/?uuid=87453a7e-1a38-4556-91c9-d1f866414fab"]}],"mendeley":{"formattedCitation":"(Kuzmina, 2022)","plainTextFormattedCitation":"(Kuzmina, 2022)","previouslyFormattedCitation":"(Kuzmina, 2022)"},"properties":{"noteIndex":0},"schema":"https://github.com/citation-style-language/schema/raw/master/csl-citation.json"}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(Kuzmina, 2022)</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Selain itu, pemodelan kecenderungan pribadi terhadap kemalasan dalam sistem kontrol menyoroti bagaimana perilaku individu dapat dianalisis dan dipahami secara sistematis, menunjukkan bahwa apa yang sering dicap sebagai kemalasan mungkin merupakan interaksi kompleks dari faktor pribadi dan situasional.</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{"citationItems":[{"id":"ITEM-1","itemData":{"DOI":"10.1109/LCSYS.2020.3023337","abstract":"This letter addresses the modeling of a personal tendency by utilizing the data collected from a manned control system. In the control system, it is assumed that a control operator, namely a human controller, determines the control actions based on his/her tendency toward laziness. The tendency is described by a cost function that includes the $L_{2}$ norm of the state and the $L_{1}$ norm of the control action. Then, the operator behavior is modeled by the solution to the optimization problem formulated with the $L_{2}$ -state/ $L_{1}$ -action cost function and the plant model. The tendency modeling is reduced to the problem of estimating the cost function. The estimation problem is further extended by taking into account the operator dynamics caused by the recognition and motion to derive an MPC-based formulation. Finally, the estimation method is demonstrated via an actual manned control experiment with a toy game.","author":[{"dropping-particle":"","family":"Hara","given":"Keita","non-dropping-particle":"","parse-names":false,"suffix":""},{"dropping-particle":"","family":"Inoue","given":"Masaki","non-dropping-particle":"","parse-names":false,"suffix":""},{"dropping-particle":"","family":"Maestre","given":"José M","non-dropping-particle":"","parse-names":false,"suffix":""}],"id":"ITEM-1","issue":"4","issued":{"date-parts":[["2021"]]},"note":"Insights: Tidak dibahas di koran.","page":"1219-1224","title":"Data-Driven Human Modeling: Quantifying Personal Tendency Toward Laziness","type":"article-journal","volume":"5"},"uris":["http://www.mendeley.com/documents/?uuid=998b0148-87d4-42e4-93c4-ef5fe33a7d7a"]}],"mendeley":{"formattedCitation":"(Hara et al., 2021)","plainTextFormattedCitation":"(Hara et al., 2021)","previouslyFormattedCitation":"(Hara et al., 2021)"},"properties":{"noteIndex":0},"schema":"https://github.com/citation-style-language/schema/raw/master/csl-citation.json"}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(Hara et al., 2021)</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Dari sudut pandang sastra dan budaya, kemalasan dan ketidakaktifan mengungkapkan adanya sebuah resonansi puitis dan historis yang dalam, menantang pandangan reduksionis tentang kemalasan hanya sebagai kurangnya usaha atau kegagalan moral.</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{"citationItems":[{"id":"ITEM-1","itemData":{"DOI":"10.1007/978-3-319-45264-7_22","abstract":"This chapter originated from talks Michael Greaney delivered at two Hubbub events: ‘Sloth: What’s in a Name?’ and the ‘Science and Politics of Laziness’, which took place at London Zoo and Wellcome Collection, respectively. Here, Michael draws on literary history, cultural associations and the poetic resonances of the concept of sloth, and considers laziness and inactivity from a literary perspective.","author":[{"dropping-particle":"","family":"Greaney","given":"Michael","non-dropping-particle":"","parse-names":false,"suffix":""}],"id":"ITEM-1","issued":{"date-parts":[["2016"]]},"note":"Insights: Tidak dibahas di koran.","page":"183-190","title":"Laziness:a literary-historical perspective","type":"chapter"},"uris":["http://www.mendeley.com/documents/?uuid=bfa99acf-cf97-4ff6-a04e-4474e353d219"]}],"mendeley":{"formattedCitation":"(Greaney, 2016)","plainTextFormattedCitation":"(Greaney, 2016)","previouslyFormattedCitation":"(Greaney, 2016)"},"properties":{"noteIndex":0},"schema":"https://github.com/citation-style-language/schema/raw/master/csl-citation.json"}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noProof/>
          <w:color w:val="030303"/>
          <w:sz w:val="24"/>
          <w:szCs w:val="24"/>
          <w:bdr w:val="single" w:sz="2" w:space="0" w:color="E4E6E8" w:frame="1"/>
          <w:shd w:val="clear" w:color="auto" w:fill="FFFFFF"/>
        </w:rPr>
        <w:t>(Greaney, 2016)</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Dengan demikian, kecaman terhadap “hamba jahat dan nakal” dalam perumpamaanTalenta dalam teks Injil Matius dapat dilihat sebagai cerminan dari sikap masyarakat yang lebih luas terhadap kemalasan, yang berakar dalam dalam konteks budaya, ekonomi, dan sejarah.</w:t>
      </w:r>
    </w:p>
    <w:p w14:paraId="0FDF5C30" w14:textId="77777777" w:rsidR="002C3752" w:rsidRPr="00936500" w:rsidRDefault="002C3752" w:rsidP="002C3752">
      <w:pPr>
        <w:jc w:val="both"/>
        <w:rPr>
          <w:rFonts w:ascii="Times New Roman" w:hAnsi="Times New Roman" w:cs="Times New Roman"/>
          <w:sz w:val="24"/>
          <w:szCs w:val="24"/>
        </w:rPr>
      </w:pPr>
      <w:r w:rsidRPr="00936500">
        <w:rPr>
          <w:rFonts w:ascii="Times New Roman" w:hAnsi="Times New Roman" w:cs="Times New Roman"/>
          <w:sz w:val="24"/>
          <w:szCs w:val="24"/>
        </w:rPr>
        <w:tab/>
        <w:t>Pelaku bisnis dengan sumber daya manusia yanng malas tidak saja merugikan pemberi modal, tetapi juga memberi gambaran adanya individu yang gagal mengenali peluang, mengabaikan nilai orang lain hanya untuk menutupi kemalasan dan pelanggarannya.</w:t>
      </w:r>
    </w:p>
    <w:p w14:paraId="06E06573" w14:textId="77777777" w:rsidR="002C3752" w:rsidRPr="00936500" w:rsidRDefault="002C3752" w:rsidP="002C3752">
      <w:pPr>
        <w:jc w:val="both"/>
        <w:rPr>
          <w:rFonts w:ascii="Times New Roman" w:eastAsia="Times New Roman" w:hAnsi="Times New Roman" w:cs="Times New Roman"/>
          <w:sz w:val="24"/>
          <w:szCs w:val="24"/>
        </w:rPr>
      </w:pPr>
    </w:p>
    <w:p w14:paraId="69A08F3E" w14:textId="77777777" w:rsidR="002C3752" w:rsidRDefault="002C3752" w:rsidP="002C3752">
      <w:pPr>
        <w:jc w:val="both"/>
        <w:rPr>
          <w:rFonts w:ascii="Times New Roman" w:eastAsia="Times New Roman" w:hAnsi="Times New Roman" w:cs="Times New Roman"/>
          <w:b/>
          <w:bCs/>
          <w:sz w:val="24"/>
          <w:szCs w:val="24"/>
        </w:rPr>
      </w:pPr>
      <w:r w:rsidRPr="000D698C">
        <w:rPr>
          <w:rFonts w:ascii="Times New Roman" w:eastAsia="Times New Roman" w:hAnsi="Times New Roman" w:cs="Times New Roman"/>
          <w:b/>
          <w:bCs/>
          <w:sz w:val="24"/>
          <w:szCs w:val="24"/>
        </w:rPr>
        <w:t>Tanggungjawab</w:t>
      </w:r>
    </w:p>
    <w:p w14:paraId="4FA42CA4" w14:textId="77777777" w:rsidR="002C3752" w:rsidRPr="00936500" w:rsidRDefault="002C3752" w:rsidP="002C3752">
      <w:pPr>
        <w:jc w:val="both"/>
        <w:rPr>
          <w:rFonts w:ascii="Times New Roman" w:hAnsi="Times New Roman" w:cs="Times New Roman"/>
          <w:color w:val="030303"/>
          <w:sz w:val="24"/>
          <w:szCs w:val="24"/>
          <w:shd w:val="clear" w:color="auto" w:fill="FFFFFF"/>
        </w:rPr>
      </w:pPr>
      <w:r>
        <w:rPr>
          <w:rFonts w:ascii="Times New Roman" w:hAnsi="Times New Roman" w:cs="Times New Roman"/>
          <w:color w:val="030303"/>
          <w:sz w:val="24"/>
          <w:szCs w:val="24"/>
          <w:shd w:val="clear" w:color="auto" w:fill="FFFFFF"/>
        </w:rPr>
        <w:tab/>
      </w:r>
      <w:r w:rsidRPr="00936500">
        <w:rPr>
          <w:rFonts w:ascii="Times New Roman" w:hAnsi="Times New Roman" w:cs="Times New Roman"/>
          <w:color w:val="030303"/>
          <w:sz w:val="24"/>
          <w:szCs w:val="24"/>
          <w:shd w:val="clear" w:color="auto" w:fill="FFFFFF"/>
        </w:rPr>
        <w:t>Tanggung jawab dalam etika bisnis beragam, mencakup dimensi hukum, perusahaan, manajerial, sosial, pemangku kepentingan, dan sosial.</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{"citationItems":[{"id":"ITEM-1","itemData":{"DOI":"10.1007/S10551-010-0378-4","abstract":"This article reviews the concept of moral responsibility in business ethics and examines the seven previous articles using several types of responsibility in business as the overriding construct to gain a fuller understanding of the ethical impact of these articles. The types of responsibility that are used in this analysis are: legal, corporate, managerial, social, stakeholder, and societal. Observations about how normative ethical principles might also be applied to these articles are also advanced. This article concludes with a call for more conceptual and empirical research into the notion of responsibility in business.","author":[{"dropping-particle":"","family":"Murphy","given":"Patrick E","non-dropping-particle":"","parse-names":false,"suffix":""}],"container-title":"Journal of Business Ethics","id":"ITEM-1","issue":"2","issued":{"date-parts":[["2009"]]},"note":"Insights: Tidak dibahas di koran.","page":"245-252","title":"The Relevance of Responsibility to Ethical Business Decisions.","type":"article-journal","volume":"90"},"uris":["http://www.mendeley.com/documents/?uuid=bc6c83ff-60d5-4005-8886-53185c3b069f"]}],"mendeley":{"formattedCitation":"(Murphy, 2009)","plainTextFormattedCitation":"(Murphy, 2009)","previouslyFormattedCitation":"(Murphy, 2009)"},"properties":{"noteIndex":0},"schema":"https://github.com/citation-style-language/schema/raw/master/csl-citation.json"}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(Murphy, 2009)</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Dalam kerangka sistem kredit Bank, pengusaha, terutama usaha kecil dan menengah, diharapkan untuk secara bertanggung jawab mengelola dan membayar kembali modal yang mereka peroleh, mematuhi peraturan yang ditetapkan dan suku bunga nominal. Akuntabilitas keuangan ini sangat penting untuk mempertahankan operasi dan menumbuhkan kepercayaan dengan pendukung keuangan, yang dapat menghargai perilaku yang bertanggung jawab dengan dana tambahan. Konsep tanggung jawab melampaui kewajiban keuangan belaka; itu juga melibatkan pertimbangan etis dalam proses pengambilan keputusan. Misalnya, dalam konteks perawatan kesehatan, perdebatan etis seputar alokasi sumber daya yang langka seperti transplantasi hati menyoroti kompleksitas penggunaan tanggung jawab sebagai kriteria, menunjukkan bahwa waktu tunggu mungkin menjadi pemecah hubungan yang lebih adil</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{"citationItems":[{"id":"ITEM-1","itemData":{"DOI":"10.1007/s11019-023-10141-3","abstract":"There is a long-standing debate concerning the eligibility of patients suffering from alcohol-related end-stage liver disease (ARESLD) for deceased donor liver transplantation. The question of retrospective and/or prospective responsibility has been at the center of the ethical discussion. Several authors argue that these patients should at least be regarded as partly responsible for their ARESLD. At the same time, the arguments for retrospective and/or prospective responsibility have been strongly criticized, such that no consensus has been reached. A third option was proposed as a form of compromise, namely that responsibility should only be used as a tiebreaker in liver allocation. The present study provides an ethical investigation of this third option. First, we will provide an overview of the main arguments that have been offered for and against the use of responsibility as an allocation criterion. Second, we will explore the concept of responsibility as a tiebreaker in detail and discuss several types of situations, in which responsibility could be used as a tiebreaker, as well as the main ethical challenges associated with them. As we will show, an ethical justified use of responsibility as a tiebreaker is limited to a very restricted number of cases and is associated with a number of ethical concerns. For this reason, waiting time should be preferred as a tiebreaker in liver allocation, even though the criterion of waiting time, too, raises a number of equity-related concerns. ","author":[{"dropping-particle":"","family":"Hu","given":"Diehua","non-dropping-particle":"","parse-names":false,"suffix":""},{"dropping-particle":"","family":"Primc","given":"Nadia","non-dropping-particle":"","parse-names":false,"suffix":""}],"container-title":"Medicine Health Care and Philosophy","id":"ITEM-1","issue":"2","issued":{"date-parts":[["2023"]]},"note":"Insights: Tidak dibahas di koran.","page":"243-255","title":"Should responsibility be used as a tiebreaker in allocation of deceased donor organs for patients suffering from alcohol-related end-stage liver disease?","type":"article-journal","volume":"26"},"uris":["http://www.mendeley.com/documents/?uuid=5b32dce4-cc2c-40ea-b040-a3578d9b086d"]}],"mendeley":{"formattedCitation":"(Hu &amp; Primc, 2023)","plainTextFormattedCitation":"(Hu &amp; Primc, 2023)","previouslyFormattedCitation":"(Hu &amp; Primc,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(Hu &amp; Primc,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w:t>
      </w:r>
    </w:p>
    <w:p w14:paraId="685177BA" w14:textId="77777777" w:rsidR="002C3752" w:rsidRPr="00936500" w:rsidRDefault="002C3752" w:rsidP="002C3752">
      <w:pPr>
        <w:jc w:val="both"/>
        <w:rPr>
          <w:rFonts w:ascii="Times New Roman" w:hAnsi="Times New Roman" w:cs="Times New Roman"/>
          <w:color w:val="030303"/>
          <w:sz w:val="24"/>
          <w:szCs w:val="24"/>
          <w:shd w:val="clear" w:color="auto" w:fill="FFFFFF"/>
        </w:rPr>
      </w:pPr>
      <w:r w:rsidRPr="00936500">
        <w:rPr>
          <w:rFonts w:ascii="Times New Roman" w:hAnsi="Times New Roman" w:cs="Times New Roman"/>
          <w:color w:val="030303"/>
          <w:sz w:val="24"/>
          <w:szCs w:val="24"/>
          <w:shd w:val="clear" w:color="auto" w:fill="FFFFFF"/>
        </w:rPr>
        <w:tab/>
        <w:t>Demikian pula, dalam bidang pertahanan diri dan perang, tanggung jawab agen sering didasarkan pada tanggung jawab moral mereka atas ancaman yang ditimbulkan, meskipun konsep ini penuh dengan konflik teoretis</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{"citationItems":[{"id":"ITEM-1","itemData":{"DOI":"10.1007/S11098-021-01614-3","abstract":"The focus of this paper is an influential family of views in the ethics of self-defense and war: views that ground the agent’s liability to be attacked in self-defense in the agent’s moral responsibility for the threat posed (“Responsibility Views”). I critically examine the concept of responsibility employed by such views, by looking at potential connections with the contemporary literature on moral responsibility. I start by uncovering some of the key assumptions that Responsibility Views make about the relevant concept of responsibility, and by scrutinizing those assumptions under the lens of more general theorizing about responsibility. I identify an important conflict that arises at that point. The problem is that the concept presupposed by Responsibility Views is in tension with the standard way of understanding the connection between the neutral and non-neutral forms of moral responsibility. I draw attention to a particular strategy that could be used to address this challenge, but I also identify some important obstacles that stand in the way.","author":[{"dropping-particle":"","family":"Sartorio","given":"Carolina","non-dropping-particle":"","parse-names":false,"suffix":""}],"container-title":"Philosophical Studies","id":"ITEM-1","issue":"11","issued":{"date-parts":[["2021"]]},"note":"Insights: Tidak dibahas di koran.","page":"3561-3577","title":"The concept of responsibility in the ethics of self-defense and war","type":"article-journal","volume":"178"},"uris":["http://www.mendeley.com/documents/?uuid=1fb05f87-421a-4ac6-a9ae-20ec270e1c5e"]}],"mendeley":{"formattedCitation":"(Sartorio, 2021)","plainTextFormattedCitation":"(Sartorio, 2021)","previouslyFormattedCitation":"(Sartorio, 2021)"},"properties":{"noteIndex":0},"schema":"https://github.com/citation-style-language/schema/raw/master/csl-citation.json"}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noProof/>
          <w:color w:val="030303"/>
          <w:sz w:val="24"/>
          <w:szCs w:val="24"/>
          <w:bdr w:val="single" w:sz="2" w:space="0" w:color="E4E6E8" w:frame="1"/>
          <w:shd w:val="clear" w:color="auto" w:fill="FFFFFF"/>
        </w:rPr>
        <w:t>(Sartorio, 2021)</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w:t>
      </w:r>
      <w:r>
        <w:rPr>
          <w:rFonts w:ascii="Times New Roman" w:hAnsi="Times New Roman" w:cs="Times New Roman"/>
          <w:color w:val="030303"/>
          <w:sz w:val="24"/>
          <w:szCs w:val="24"/>
          <w:shd w:val="clear" w:color="auto" w:fill="FFFFFF"/>
        </w:rPr>
        <w:t xml:space="preserve"> </w:t>
      </w:r>
      <w:r w:rsidRPr="00936500">
        <w:rPr>
          <w:rFonts w:ascii="Times New Roman" w:hAnsi="Times New Roman" w:cs="Times New Roman"/>
          <w:color w:val="030303"/>
          <w:sz w:val="24"/>
          <w:szCs w:val="24"/>
          <w:shd w:val="clear" w:color="auto" w:fill="FFFFFF"/>
        </w:rPr>
        <w:t xml:space="preserve"> Dalam pendidikan bisnis, dorongan menuju pembelajaran manajemen yang bertanggung jawab bertujuan untuk mengubah individu menjadi 'homo responsabilis, 'menekankan peningkatan diri, kemakmuran ekonomi, dan keberlanjutan sosial dan lingkungan. Namun, hal ini dapat menyebabkan beban moral yang berlebihan dan beban individu yang berlebihan, yang </w:t>
      </w:r>
      <w:r w:rsidRPr="00936500">
        <w:rPr>
          <w:rFonts w:ascii="Times New Roman" w:hAnsi="Times New Roman" w:cs="Times New Roman"/>
          <w:color w:val="030303"/>
          <w:sz w:val="24"/>
          <w:szCs w:val="24"/>
          <w:shd w:val="clear" w:color="auto" w:fill="FFFFFF"/>
        </w:rPr>
        <w:lastRenderedPageBreak/>
        <w:t>memerlukan re-politisasi pendidikan manajemen yang bertanggung jawab untuk menumbuhkan imajinasi etika yang lebih seimbang</w:t>
      </w:r>
      <w:r>
        <w:rPr>
          <w:rFonts w:ascii="Times New Roman" w:hAnsi="Times New Roman" w:cs="Times New Roman"/>
          <w:color w:val="030303"/>
          <w:sz w:val="24"/>
          <w:szCs w:val="24"/>
          <w:shd w:val="clear" w:color="auto" w:fill="FFFFFF"/>
        </w:rPr>
        <w:t xml:space="preserve"> </w:t>
      </w:r>
      <w:r>
        <w:rPr>
          <w:rStyle w:val="FootnoteReference"/>
          <w:rFonts w:ascii="Times New Roman" w:hAnsi="Times New Roman" w:cs="Times New Roman"/>
          <w:color w:val="030303"/>
          <w:sz w:val="24"/>
          <w:szCs w:val="24"/>
          <w:bdr w:val="single" w:sz="2" w:space="0" w:color="E4E6E8" w:frame="1"/>
          <w:shd w:val="clear" w:color="auto" w:fill="FFFFFF"/>
        </w:rPr>
        <w:fldChar w:fldCharType="begin" w:fldLock="1"/>
      </w:r>
      <w:r>
        <w:rPr>
          <w:rFonts w:ascii="Times New Roman" w:hAnsi="Times New Roman" w:cs="Times New Roman"/>
          <w:color w:val="030303"/>
          <w:sz w:val="24"/>
          <w:szCs w:val="24"/>
          <w:bdr w:val="single" w:sz="2" w:space="0" w:color="E4E6E8" w:frame="1"/>
          <w:shd w:val="clear" w:color="auto" w:fill="FFFFFF"/>
        </w:rPr>
        <w:instrText>ADDIN CSL_CITATION {"citationItems":[{"id":"ITEM-1","itemData":{"DOI":"10.1177/13505076231162691","abstract":"In the responsible turn in business school education and management learning, the responsibility approach is proposed as a possible panacea against a hidden curriculum which leads to damaging business practice. The explicit promise of responsible management learning and education is that homo oeconomicus can be re-formed in the image of a responsible business subject, what we here call ‘homo responsabilis’. We explore how a business school curriculum centred on responsibility affects key subject positions such as consumer, employee, manager, entrepreneur, investor and leader. In three responsible management learning and education illustrations at our business school, we observe three layers of responsibilization of the individual: responsibilization for self-enhancement, responsibilization for economic prosperity and responsibilization for social and environmental sustainability. We find that these three layers of responsibilization impact business school subjects in several problematic ways: excessive moral burdening of consumers, overburdening of self-managing employees and fantasmatic gripping of prospective entrepreneurs. Our contribution to critical studies of responsible management learning and education is twofold: (1) we show how explicit responsible management learning and education curricula tend to extend the neoliberal HC, and (2) we complement studies calling for re-politicizing responsible management learning and education by suggesting transformative learning ways to generate explicitly ethico-political imaginations that can help in resisting individual responsibilization in business school education.","author":[{"dropping-particle":"","family":"Fougère","given":"Martin","non-dropping-particle":"","parse-names":false,"suffix":""},{"dropping-particle":"","family":"Solitander","given":"Nikodemus","non-dropping-particle":"","parse-names":false,"suffix":""}],"container-title":"Management Learning","id":"ITEM-1","issue":"3","issued":{"date-parts":[["2023"]]},"note":"Insights: Tidak dibahas di koran.","page":"396-417","title":"Homo responsabilis as an extension of the neoliberal hidden curriculum: The triple responsibilization of responsible management education","type":"article-journal","volume":"54"},"uris":["http://www.mendeley.com/documents/?uuid=edcc4d1b-722b-4122-bc23-62fb38aa287a"]}],"mendeley":{"formattedCitation":"(Fougère &amp; Solitander, 2023)","plainTextFormattedCitation":"(Fougère &amp; Solitander, 2023)","previouslyFormattedCitation":"(Fougère &amp; Solitander, 2023)"},"properties":{"noteIndex":0},"schema":"https://github.com/citation-style-language/schema/raw/master/csl-citation.json"}</w:instrText>
      </w:r>
      <w:r>
        <w:rPr>
          <w:rStyle w:val="FootnoteReference"/>
          <w:rFonts w:ascii="Times New Roman" w:hAnsi="Times New Roman" w:cs="Times New Roman"/>
          <w:color w:val="030303"/>
          <w:sz w:val="24"/>
          <w:szCs w:val="24"/>
          <w:bdr w:val="single" w:sz="2" w:space="0" w:color="E4E6E8" w:frame="1"/>
          <w:shd w:val="clear" w:color="auto" w:fill="FFFFFF"/>
        </w:rPr>
        <w:fldChar w:fldCharType="separate"/>
      </w:r>
      <w:r w:rsidRPr="007C6BFC">
        <w:rPr>
          <w:rFonts w:ascii="Times New Roman" w:hAnsi="Times New Roman" w:cs="Times New Roman"/>
          <w:bCs/>
          <w:noProof/>
          <w:color w:val="030303"/>
          <w:sz w:val="24"/>
          <w:szCs w:val="24"/>
          <w:bdr w:val="single" w:sz="2" w:space="0" w:color="E4E6E8" w:frame="1"/>
          <w:shd w:val="clear" w:color="auto" w:fill="FFFFFF"/>
          <w:lang w:val="en-US"/>
        </w:rPr>
        <w:t>(Fougère &amp; Solitander, 2023)</w:t>
      </w:r>
      <w:r>
        <w:rPr>
          <w:rStyle w:val="FootnoteReference"/>
          <w:rFonts w:ascii="Times New Roman" w:hAnsi="Times New Roman" w:cs="Times New Roman"/>
          <w:color w:val="030303"/>
          <w:sz w:val="24"/>
          <w:szCs w:val="24"/>
          <w:bdr w:val="single" w:sz="2" w:space="0" w:color="E4E6E8" w:frame="1"/>
          <w:shd w:val="clear" w:color="auto" w:fill="FFFFFF"/>
        </w:rPr>
        <w:fldChar w:fldCharType="end"/>
      </w:r>
      <w:r w:rsidRPr="00936500">
        <w:rPr>
          <w:rFonts w:ascii="Times New Roman" w:hAnsi="Times New Roman" w:cs="Times New Roman"/>
          <w:color w:val="030303"/>
          <w:sz w:val="24"/>
          <w:szCs w:val="24"/>
          <w:shd w:val="clear" w:color="auto" w:fill="FFFFFF"/>
        </w:rPr>
        <w:t xml:space="preserve">. </w:t>
      </w:r>
    </w:p>
    <w:p w14:paraId="186B06D8" w14:textId="77777777" w:rsidR="002C3752" w:rsidRDefault="002C3752" w:rsidP="002C3752">
      <w:pPr>
        <w:jc w:val="both"/>
        <w:rPr>
          <w:rFonts w:ascii="Times New Roman" w:hAnsi="Times New Roman" w:cs="Times New Roman"/>
          <w:sz w:val="24"/>
          <w:szCs w:val="24"/>
        </w:rPr>
      </w:pPr>
      <w:r>
        <w:rPr>
          <w:rFonts w:ascii="Segoe UI" w:hAnsi="Segoe UI" w:cs="Segoe UI"/>
          <w:color w:val="030303"/>
          <w:shd w:val="clear" w:color="auto" w:fill="FFFFFF"/>
        </w:rPr>
        <w:tab/>
      </w:r>
      <w:r w:rsidRPr="000D698C">
        <w:rPr>
          <w:rFonts w:ascii="Times New Roman" w:eastAsia="Times New Roman" w:hAnsi="Times New Roman" w:cs="Times New Roman"/>
          <w:sz w:val="24"/>
          <w:szCs w:val="24"/>
        </w:rPr>
        <w:tab/>
      </w:r>
      <w:r w:rsidRPr="000D698C">
        <w:rPr>
          <w:rFonts w:ascii="Times New Roman" w:hAnsi="Times New Roman" w:cs="Times New Roman"/>
          <w:sz w:val="24"/>
          <w:szCs w:val="24"/>
        </w:rPr>
        <w:t>Gagasan akuntabilitas secara konsisten dipenuhi baik dengan bentuk pengakuan atau bentuk remunerasi. Pendukung keuangan dapat memilih untuk menawarkan hadiah dalam bentuk pendanaan bisnis tambahan</w:t>
      </w:r>
      <w:r>
        <w:rPr>
          <w:rFonts w:ascii="Times New Roman" w:hAnsi="Times New Roman" w:cs="Times New Roman"/>
          <w:sz w:val="24"/>
          <w:szCs w:val="24"/>
        </w:rPr>
        <w:t xml:space="preserve"> sebagaimana yang diungkapkan Yesus dalam perumpamaan-Nya: </w:t>
      </w:r>
      <w:r>
        <w:rPr>
          <w:rFonts w:ascii="Times New Roman" w:hAnsi="Times New Roman" w:cs="Times New Roman"/>
          <w:i/>
          <w:iCs/>
          <w:sz w:val="24"/>
          <w:szCs w:val="24"/>
        </w:rPr>
        <w:t>“setiap orang yang mempuyai akan diberi sehingga ia berkelimpahan...</w:t>
      </w:r>
      <w:r>
        <w:rPr>
          <w:rFonts w:ascii="Times New Roman" w:hAnsi="Times New Roman" w:cs="Times New Roman"/>
          <w:sz w:val="24"/>
          <w:szCs w:val="24"/>
        </w:rPr>
        <w:t>”(ayat 29). Di lain pihak ada</w:t>
      </w:r>
      <w:r w:rsidRPr="000D698C">
        <w:rPr>
          <w:rFonts w:ascii="Times New Roman" w:hAnsi="Times New Roman" w:cs="Times New Roman"/>
          <w:sz w:val="24"/>
          <w:szCs w:val="24"/>
        </w:rPr>
        <w:t xml:space="preserve"> </w:t>
      </w:r>
      <w:r>
        <w:rPr>
          <w:rFonts w:ascii="Times New Roman" w:hAnsi="Times New Roman" w:cs="Times New Roman"/>
          <w:sz w:val="24"/>
          <w:szCs w:val="24"/>
        </w:rPr>
        <w:t>s</w:t>
      </w:r>
      <w:r w:rsidRPr="000D698C">
        <w:rPr>
          <w:rFonts w:ascii="Times New Roman" w:hAnsi="Times New Roman" w:cs="Times New Roman"/>
          <w:sz w:val="24"/>
          <w:szCs w:val="24"/>
        </w:rPr>
        <w:t>anks dikenakan pada individu yang mengabaikan tugasnya dengan menyerah pada kemalasan dan kelesuan</w:t>
      </w:r>
      <w:r>
        <w:rPr>
          <w:rFonts w:ascii="Times New Roman" w:hAnsi="Times New Roman" w:cs="Times New Roman"/>
          <w:sz w:val="24"/>
          <w:szCs w:val="24"/>
        </w:rPr>
        <w:t>.. “</w:t>
      </w:r>
      <w:r>
        <w:rPr>
          <w:rFonts w:ascii="Times New Roman" w:hAnsi="Times New Roman" w:cs="Times New Roman"/>
          <w:i/>
          <w:iCs/>
          <w:sz w:val="24"/>
          <w:szCs w:val="24"/>
        </w:rPr>
        <w:t xml:space="preserve">tetapi siapa yang tidak mempunyai, apapun juga yang ada padanya akan diambil dari padanya.” </w:t>
      </w:r>
      <w:r w:rsidRPr="000D698C">
        <w:rPr>
          <w:rFonts w:ascii="Times New Roman" w:hAnsi="Times New Roman" w:cs="Times New Roman"/>
          <w:sz w:val="24"/>
          <w:szCs w:val="24"/>
        </w:rPr>
        <w:t xml:space="preserve"> Hukuman yang dijelaskan dalam perikop Alkitab melibatkan pengusiran dari lingkaran kemakmuran ke dalam keadaan miskin dan tak berdaya.</w:t>
      </w:r>
      <w:r>
        <w:rPr>
          <w:rFonts w:ascii="Times New Roman" w:hAnsi="Times New Roman" w:cs="Times New Roman"/>
          <w:sz w:val="24"/>
          <w:szCs w:val="24"/>
        </w:rPr>
        <w:t>(ayat 30)</w:t>
      </w:r>
    </w:p>
    <w:p w14:paraId="5CF25200" w14:textId="77777777" w:rsidR="002C3752" w:rsidRDefault="002C3752" w:rsidP="002C3752">
      <w:pPr>
        <w:jc w:val="both"/>
        <w:rPr>
          <w:rFonts w:ascii="Times New Roman" w:hAnsi="Times New Roman" w:cs="Times New Roman"/>
          <w:sz w:val="24"/>
          <w:szCs w:val="24"/>
        </w:rPr>
      </w:pPr>
    </w:p>
    <w:p w14:paraId="5740B96B" w14:textId="77777777" w:rsidR="002C3752" w:rsidRPr="00936500" w:rsidRDefault="002C3752" w:rsidP="002C3752">
      <w:pPr>
        <w:jc w:val="both"/>
        <w:rPr>
          <w:rFonts w:ascii="Times New Roman" w:hAnsi="Times New Roman" w:cs="Times New Roman"/>
          <w:b/>
          <w:bCs/>
          <w:sz w:val="24"/>
          <w:szCs w:val="24"/>
        </w:rPr>
      </w:pPr>
      <w:r>
        <w:rPr>
          <w:rFonts w:ascii="Times New Roman" w:hAnsi="Times New Roman" w:cs="Times New Roman"/>
          <w:b/>
          <w:bCs/>
          <w:sz w:val="24"/>
          <w:szCs w:val="24"/>
        </w:rPr>
        <w:t xml:space="preserve">Hasil Wawancara </w:t>
      </w:r>
      <w:r w:rsidRPr="00936500">
        <w:rPr>
          <w:rFonts w:ascii="Times New Roman" w:hAnsi="Times New Roman" w:cs="Times New Roman"/>
          <w:b/>
          <w:bCs/>
          <w:sz w:val="24"/>
          <w:szCs w:val="24"/>
        </w:rPr>
        <w:t>Pemud</w:t>
      </w:r>
      <w:r>
        <w:rPr>
          <w:rFonts w:ascii="Times New Roman" w:hAnsi="Times New Roman" w:cs="Times New Roman"/>
          <w:b/>
          <w:bCs/>
          <w:sz w:val="24"/>
          <w:szCs w:val="24"/>
        </w:rPr>
        <w:t xml:space="preserve">a </w:t>
      </w:r>
    </w:p>
    <w:p w14:paraId="69161B87" w14:textId="77777777" w:rsidR="002C3752" w:rsidRDefault="002C3752" w:rsidP="002C3752">
      <w:pPr>
        <w:jc w:val="both"/>
        <w:rPr>
          <w:rFonts w:ascii="Times New Roman" w:hAnsi="Times New Roman" w:cs="Times New Roman"/>
          <w:sz w:val="24"/>
          <w:szCs w:val="24"/>
        </w:rPr>
      </w:pPr>
      <w:r>
        <w:rPr>
          <w:rFonts w:ascii="Times New Roman" w:hAnsi="Times New Roman" w:cs="Times New Roman"/>
          <w:sz w:val="24"/>
          <w:szCs w:val="24"/>
        </w:rPr>
        <w:tab/>
        <w:t xml:space="preserve">Terdapat 15 orang pemuda Paroki agios Dimitrius Medan diwawancarai secara mendalam  dengan tiga pertanyaan utama. Pertanyaan (1) Apakah mereka memahami tentang modal finansial (usaha) dan modal sebagai pribadi (pengusaha) yang melakukan kegiatan bisnis? Pertanyaan (2) Bagaimana mereka memahami dan menghargai peluang yang mereka miliki untuk berkegiatan ekonomi? Pertanyaan (3) Bagaimana mereka melakukan kegiatan wirausaha secara bertanggunjawab baik kepada Tuhan, diri sendiri dan keluarga khususnya orangtua? Hasil penilitian menunjukkan bahwa 60% resoponden mengakui bahwa modal yang mereka miliki adalah modal sebagai pengusaha karena mereka belom mendapat bantuan modal dari pihak manapun. Adanya pengakuan bahwa Tuhan memberikan mereka diri sebagai manusia yang dapat melakukan banyak hal untuk kebutuhan hidup. </w:t>
      </w:r>
    </w:p>
    <w:p w14:paraId="102B0C32" w14:textId="77777777" w:rsidR="002C3752" w:rsidRDefault="002C3752" w:rsidP="002C3752">
      <w:pPr>
        <w:jc w:val="both"/>
        <w:rPr>
          <w:rFonts w:ascii="Times New Roman" w:hAnsi="Times New Roman" w:cs="Times New Roman"/>
          <w:sz w:val="24"/>
          <w:szCs w:val="24"/>
        </w:rPr>
      </w:pPr>
      <w:r>
        <w:rPr>
          <w:rFonts w:ascii="Times New Roman" w:hAnsi="Times New Roman" w:cs="Times New Roman"/>
          <w:sz w:val="24"/>
          <w:szCs w:val="24"/>
        </w:rPr>
        <w:tab/>
        <w:t>Terdapat 80% diantara mereka memanfaatkan peluang dengan baik dan mengerjakan pekerjaan untuk mendatangkan kecukupan finansial. Sementara terdapat 75% yang mengakui bahwa mereka bertanggjawab terhadap peluang yang dimiliki.</w:t>
      </w:r>
    </w:p>
    <w:p w14:paraId="5E7FA132" w14:textId="77777777" w:rsidR="002C3752" w:rsidRDefault="002C3752" w:rsidP="002C3752">
      <w:pPr>
        <w:jc w:val="both"/>
        <w:rPr>
          <w:rFonts w:ascii="Times New Roman" w:hAnsi="Times New Roman" w:cs="Times New Roman"/>
          <w:sz w:val="24"/>
          <w:szCs w:val="24"/>
        </w:rPr>
      </w:pPr>
    </w:p>
    <w:p w14:paraId="6157DC7F" w14:textId="77777777" w:rsidR="002C3752" w:rsidRDefault="002C3752" w:rsidP="002C3752">
      <w:pPr>
        <w:jc w:val="both"/>
        <w:rPr>
          <w:rFonts w:ascii="Times New Roman" w:hAnsi="Times New Roman" w:cs="Times New Roman"/>
          <w:b/>
          <w:bCs/>
          <w:sz w:val="24"/>
          <w:szCs w:val="24"/>
        </w:rPr>
      </w:pPr>
      <w:r w:rsidRPr="00301C8F">
        <w:rPr>
          <w:rFonts w:ascii="Times New Roman" w:hAnsi="Times New Roman" w:cs="Times New Roman"/>
          <w:b/>
          <w:bCs/>
          <w:sz w:val="24"/>
          <w:szCs w:val="24"/>
        </w:rPr>
        <w:t>Diskusi</w:t>
      </w:r>
    </w:p>
    <w:p w14:paraId="02B2CC1B" w14:textId="77777777" w:rsidR="002C3752" w:rsidRDefault="002C3752" w:rsidP="002C3752">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Bahwa dengan 60% pemuda yang mengakui bahwa modal utama mereka dalam melakukan bisni merupakan modal manusia memberikan indikasi bahwa kelompok pemuda ini melihat diri mereka sebagai kekuatan yang mendominasi keberhasilan dalam menjalankan usaha. Para pemuda juga mengindikasikan bahwa usaha mereka seperti </w:t>
      </w:r>
      <w:r>
        <w:rPr>
          <w:rFonts w:ascii="Times New Roman" w:hAnsi="Times New Roman" w:cs="Times New Roman"/>
          <w:i/>
          <w:iCs/>
          <w:sz w:val="24"/>
          <w:szCs w:val="24"/>
        </w:rPr>
        <w:t>printing</w:t>
      </w:r>
      <w:r>
        <w:rPr>
          <w:rFonts w:ascii="Times New Roman" w:hAnsi="Times New Roman" w:cs="Times New Roman"/>
          <w:sz w:val="24"/>
          <w:szCs w:val="24"/>
        </w:rPr>
        <w:t>,</w:t>
      </w:r>
      <w:r>
        <w:rPr>
          <w:rFonts w:ascii="Times New Roman" w:hAnsi="Times New Roman" w:cs="Times New Roman"/>
          <w:i/>
          <w:iCs/>
          <w:sz w:val="24"/>
          <w:szCs w:val="24"/>
        </w:rPr>
        <w:t xml:space="preserve"> foto video digital,jualan pulsa, bisnis online</w:t>
      </w:r>
      <w:r>
        <w:rPr>
          <w:rFonts w:ascii="Times New Roman" w:hAnsi="Times New Roman" w:cs="Times New Roman"/>
          <w:sz w:val="24"/>
          <w:szCs w:val="24"/>
        </w:rPr>
        <w:t xml:space="preserve"> dll belum mendapat modal finasial baik dari pihak keluargapun pihak luar. Mereka membutuhkan akses agar mendapat bagiann dalam modal usaha yang disediakan oleh pemerintah dan pihak suasta lain dalam mengembangkan usaha. Namun 40% pemuda lainya membutuhkan </w:t>
      </w:r>
      <w:r>
        <w:rPr>
          <w:rFonts w:ascii="Times New Roman" w:hAnsi="Times New Roman" w:cs="Times New Roman"/>
          <w:i/>
          <w:iCs/>
          <w:sz w:val="24"/>
          <w:szCs w:val="24"/>
        </w:rPr>
        <w:t>insight</w:t>
      </w:r>
      <w:r>
        <w:rPr>
          <w:rFonts w:ascii="Times New Roman" w:hAnsi="Times New Roman" w:cs="Times New Roman"/>
          <w:sz w:val="24"/>
          <w:szCs w:val="24"/>
        </w:rPr>
        <w:t xml:space="preserve"> yang lebih dalam berusaha dan mengembangkan potensi diri.</w:t>
      </w:r>
    </w:p>
    <w:p w14:paraId="204CE4BA" w14:textId="77777777" w:rsidR="002C3752" w:rsidRDefault="002C3752" w:rsidP="002C3752">
      <w:pPr>
        <w:jc w:val="both"/>
        <w:rPr>
          <w:rFonts w:ascii="Times New Roman" w:hAnsi="Times New Roman" w:cs="Times New Roman"/>
          <w:sz w:val="24"/>
          <w:szCs w:val="24"/>
        </w:rPr>
      </w:pPr>
      <w:r>
        <w:rPr>
          <w:rFonts w:ascii="Times New Roman" w:hAnsi="Times New Roman" w:cs="Times New Roman"/>
          <w:sz w:val="24"/>
          <w:szCs w:val="24"/>
        </w:rPr>
        <w:tab/>
        <w:t xml:space="preserve">Dari segi peluang 80% memanfaatkan peluang dengan baik. Peluang menjalankan usaha dan melayani gereja sesuai dengan tanggunjawb yang diberikan. Sementara 20% lainnya sering gagal mengambil peluang yang sudah ada.  Sebagai contoh, terdapat niat untuk membuka usaha </w:t>
      </w:r>
      <w:r>
        <w:rPr>
          <w:rFonts w:ascii="Times New Roman" w:hAnsi="Times New Roman" w:cs="Times New Roman"/>
          <w:i/>
          <w:iCs/>
          <w:sz w:val="24"/>
          <w:szCs w:val="24"/>
        </w:rPr>
        <w:t>bakery</w:t>
      </w:r>
      <w:r>
        <w:rPr>
          <w:rFonts w:ascii="Times New Roman" w:hAnsi="Times New Roman" w:cs="Times New Roman"/>
          <w:sz w:val="24"/>
          <w:szCs w:val="24"/>
        </w:rPr>
        <w:t xml:space="preserve"> tapi tidak menangkap peluang tersebut dan orang lain yang menjalankan usaha yang sama pada tempat yang pernah direncanakan. Kehilangan peluang karena memikirkan modal usaha termasuk ketrampilan.</w:t>
      </w:r>
    </w:p>
    <w:p w14:paraId="40EF80E6" w14:textId="77777777" w:rsidR="002C3752" w:rsidRPr="00D56DDB" w:rsidRDefault="002C3752" w:rsidP="002C3752">
      <w:pPr>
        <w:jc w:val="both"/>
        <w:rPr>
          <w:rFonts w:ascii="Times New Roman" w:hAnsi="Times New Roman" w:cs="Times New Roman"/>
          <w:sz w:val="24"/>
          <w:szCs w:val="24"/>
        </w:rPr>
      </w:pPr>
      <w:r>
        <w:rPr>
          <w:rFonts w:ascii="Times New Roman" w:hAnsi="Times New Roman" w:cs="Times New Roman"/>
          <w:sz w:val="24"/>
          <w:szCs w:val="24"/>
        </w:rPr>
        <w:tab/>
        <w:t>Hal yang sama juga dalam hal bertanggungjawab. Kebanyakan dari para pemuda tetap menjalankan usaha yang sudah dimulai secara konsisten. Terdapat pengembangan modal usaha dan pelipatgandaan pendapatan.</w:t>
      </w:r>
    </w:p>
    <w:p w14:paraId="3F30D36B" w14:textId="77777777" w:rsidR="002C3752" w:rsidRPr="00301C8F" w:rsidRDefault="002C3752" w:rsidP="002C3752">
      <w:pPr>
        <w:jc w:val="both"/>
        <w:rPr>
          <w:rFonts w:ascii="Times New Roman" w:eastAsia="Times New Roman" w:hAnsi="Times New Roman" w:cs="Times New Roman"/>
          <w:b/>
          <w:bCs/>
          <w:sz w:val="24"/>
          <w:szCs w:val="24"/>
        </w:rPr>
      </w:pPr>
    </w:p>
    <w:p w14:paraId="51C309FB" w14:textId="77777777" w:rsidR="002C3752" w:rsidRDefault="002C3752" w:rsidP="002C3752">
      <w:pPr>
        <w:jc w:val="both"/>
        <w:rPr>
          <w:rFonts w:ascii="Times New Roman" w:eastAsia="Times New Roman" w:hAnsi="Times New Roman" w:cs="Times New Roman"/>
          <w:b/>
          <w:bCs/>
          <w:sz w:val="24"/>
          <w:szCs w:val="24"/>
        </w:rPr>
      </w:pPr>
    </w:p>
    <w:p w14:paraId="4262CF48" w14:textId="77777777" w:rsidR="002C3752" w:rsidRDefault="002C3752" w:rsidP="002C3752">
      <w:pPr>
        <w:jc w:val="both"/>
        <w:rPr>
          <w:rFonts w:ascii="Times New Roman" w:eastAsia="Times New Roman" w:hAnsi="Times New Roman" w:cs="Times New Roman"/>
          <w:b/>
          <w:bCs/>
          <w:sz w:val="24"/>
          <w:szCs w:val="24"/>
        </w:rPr>
      </w:pPr>
    </w:p>
    <w:p w14:paraId="4F2B7DDF" w14:textId="77777777" w:rsidR="002C3752" w:rsidRPr="00F0190C" w:rsidRDefault="002C3752" w:rsidP="002C3752">
      <w:pPr>
        <w:jc w:val="both"/>
        <w:rPr>
          <w:rFonts w:ascii="Times New Roman" w:eastAsia="Times New Roman" w:hAnsi="Times New Roman" w:cs="Times New Roman"/>
          <w:b/>
          <w:bCs/>
          <w:sz w:val="24"/>
          <w:szCs w:val="24"/>
        </w:rPr>
      </w:pPr>
      <w:r w:rsidRPr="00F0190C">
        <w:rPr>
          <w:rFonts w:ascii="Times New Roman" w:eastAsia="Times New Roman" w:hAnsi="Times New Roman" w:cs="Times New Roman"/>
          <w:b/>
          <w:bCs/>
          <w:sz w:val="24"/>
          <w:szCs w:val="24"/>
        </w:rPr>
        <w:lastRenderedPageBreak/>
        <w:t>Kesimpulan</w:t>
      </w:r>
    </w:p>
    <w:p w14:paraId="5288B139" w14:textId="77777777" w:rsidR="002C3752" w:rsidRDefault="002C3752" w:rsidP="002C3752">
      <w:pPr>
        <w:jc w:val="both"/>
        <w:rPr>
          <w:rFonts w:ascii="Times New Roman" w:eastAsia="Times New Roman" w:hAnsi="Times New Roman" w:cs="Times New Roman"/>
          <w:sz w:val="24"/>
          <w:szCs w:val="24"/>
        </w:rPr>
      </w:pPr>
      <w:r w:rsidRPr="000D698C">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Ajaran Yesus tentang entrepreunership dalam teks riset sudah terinternalisasi secara alami dalam diri mereka. Dengan beberapa perbedaan bahwa modal uang masih merupakan harapan bagi mereka untuk memperkuat modal sebagai pengusaha yang sudah cukup baik. Dari segi peluang masih  pemuda perlu memanfaatkanya leboh maksimal, khususnya peluang memperoleh modal usaha dari pemerintah untuk usaha kecil dan menengah yang lebih berpeluang diperoleh saat ini. Untuk itu gereja perlu mendampingi para pemuda untuk menghubungkan mereka kepada mitra baik dari pemerintah maupun pihak suasta lainnya. </w:t>
      </w:r>
    </w:p>
    <w:p w14:paraId="6103B00C" w14:textId="77777777" w:rsidR="002C3752" w:rsidRPr="00D56DDB" w:rsidRDefault="002C3752" w:rsidP="002C3752">
      <w:pPr>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Dengan adanya temuan ajaran Kristus tentang perilaku ekonomi orang Kristen maka Gereja perlu dengan kesadaran tinggi memastikan bahwa para pelaku usaha memiliki kualitas enterperuener yang biblakal sebagaimana dipersyaratkan dalam Matius pasa 25:14-30. Sehingga pada akhirnya tercipta pebisnis Kristen yang berakarakter kristiani. Mengakui bahwa Allah memberikan peluang berusaha bersama dengan modal dasar dalam diri manusia maupun modal usaha yang sesuai dengan kapasitas masing-masing orang. Setiap orang melakukan usaha perlu memiliki tanggungjawab penuh atas modal dan peluang yang diterima. Riset ini memiliki keterbatasan, pertama penggunaan metode. Untuk riset lanjutan dapat menggunakan metode kuantitatif untuk mengukur lebih rinci dan mendalam terhadap indikator-indikator penilitian. Kedua, objek riset perlu di perluas secara tematik pada bagian-bagian surat atau kitab yang lebih luas an tidak sajapada satu perikop atau perumpamaan. </w:t>
      </w:r>
    </w:p>
    <w:p w14:paraId="44A87A90" w14:textId="77777777" w:rsidR="00EE4166" w:rsidRPr="000D698C" w:rsidRDefault="00EE4166" w:rsidP="005A7691">
      <w:pPr>
        <w:jc w:val="both"/>
        <w:rPr>
          <w:rFonts w:ascii="Times New Roman" w:hAnsi="Times New Roman" w:cs="Times New Roman"/>
          <w:color w:val="C00000"/>
          <w:sz w:val="24"/>
          <w:szCs w:val="24"/>
        </w:rPr>
      </w:pPr>
    </w:p>
    <w:p w14:paraId="6298D178" w14:textId="77777777" w:rsidR="00EE4166" w:rsidRPr="000D698C" w:rsidRDefault="00EE4166" w:rsidP="005A7691">
      <w:pPr>
        <w:jc w:val="both"/>
        <w:rPr>
          <w:rFonts w:ascii="Times New Roman" w:hAnsi="Times New Roman" w:cs="Times New Roman"/>
          <w:color w:val="C00000"/>
          <w:sz w:val="24"/>
          <w:szCs w:val="24"/>
        </w:rPr>
      </w:pPr>
    </w:p>
    <w:p w14:paraId="50A13CC4" w14:textId="77777777" w:rsidR="00EE4166" w:rsidRPr="00F9347E" w:rsidRDefault="00EE4166" w:rsidP="00EE4166">
      <w:pPr>
        <w:jc w:val="both"/>
        <w:rPr>
          <w:rFonts w:ascii="Times New Roman" w:hAnsi="Times New Roman" w:cs="Times New Roman"/>
          <w:b/>
          <w:bCs/>
          <w:sz w:val="24"/>
          <w:szCs w:val="24"/>
        </w:rPr>
      </w:pPr>
      <w:r w:rsidRPr="00F9347E">
        <w:rPr>
          <w:rFonts w:ascii="Times New Roman" w:hAnsi="Times New Roman" w:cs="Times New Roman"/>
          <w:b/>
          <w:bCs/>
          <w:sz w:val="24"/>
          <w:szCs w:val="24"/>
        </w:rPr>
        <w:t xml:space="preserve">DAFTAR PUSTAKA </w:t>
      </w:r>
    </w:p>
    <w:p w14:paraId="6FA4ED08" w14:textId="77777777" w:rsidR="007C6BFC" w:rsidRDefault="007C6BFC" w:rsidP="007C6BFC">
      <w:pPr>
        <w:widowControl w:val="0"/>
        <w:autoSpaceDE w:val="0"/>
        <w:autoSpaceDN w:val="0"/>
        <w:adjustRightInd w:val="0"/>
        <w:rPr>
          <w:rFonts w:ascii="Times New Roman" w:hAnsi="Times New Roman" w:cs="Times New Roman"/>
          <w:sz w:val="24"/>
          <w:szCs w:val="24"/>
        </w:rPr>
      </w:pPr>
    </w:p>
    <w:p w14:paraId="344881B6" w14:textId="6B7DF647" w:rsidR="00C80FEE" w:rsidRPr="00C80FEE" w:rsidRDefault="00EE4166" w:rsidP="002C3752">
      <w:pPr>
        <w:widowControl w:val="0"/>
        <w:autoSpaceDE w:val="0"/>
        <w:autoSpaceDN w:val="0"/>
        <w:adjustRightInd w:val="0"/>
        <w:ind w:left="480" w:hanging="480"/>
        <w:jc w:val="both"/>
        <w:rPr>
          <w:rFonts w:ascii="Times New Roman" w:hAnsi="Times New Roman" w:cs="Times New Roman"/>
          <w:noProof/>
          <w:sz w:val="24"/>
          <w:szCs w:val="24"/>
        </w:rPr>
      </w:pPr>
      <w:r w:rsidRPr="000D698C">
        <w:rPr>
          <w:rFonts w:ascii="Times New Roman" w:hAnsi="Times New Roman" w:cs="Times New Roman"/>
          <w:color w:val="C00000"/>
          <w:sz w:val="24"/>
          <w:szCs w:val="24"/>
        </w:rPr>
        <w:fldChar w:fldCharType="begin" w:fldLock="1"/>
      </w:r>
      <w:r w:rsidRPr="000D698C">
        <w:rPr>
          <w:rFonts w:ascii="Times New Roman" w:hAnsi="Times New Roman" w:cs="Times New Roman"/>
          <w:color w:val="C00000"/>
          <w:sz w:val="24"/>
          <w:szCs w:val="24"/>
        </w:rPr>
        <w:instrText xml:space="preserve">ADDIN Mendeley Bibliography CSL_BIBLIOGRAPHY </w:instrText>
      </w:r>
      <w:r w:rsidRPr="000D698C">
        <w:rPr>
          <w:rFonts w:ascii="Times New Roman" w:hAnsi="Times New Roman" w:cs="Times New Roman"/>
          <w:color w:val="C00000"/>
          <w:sz w:val="24"/>
          <w:szCs w:val="24"/>
        </w:rPr>
        <w:fldChar w:fldCharType="separate"/>
      </w:r>
      <w:r w:rsidR="00C80FEE" w:rsidRPr="00C80FEE">
        <w:rPr>
          <w:rFonts w:ascii="Times New Roman" w:hAnsi="Times New Roman" w:cs="Times New Roman"/>
          <w:noProof/>
          <w:sz w:val="24"/>
          <w:szCs w:val="24"/>
        </w:rPr>
        <w:t xml:space="preserve">Ahmed, H., &amp; Aassouli, D. (2022). Entrepreneurial finance, agency problems and Islamic ethics: complementarities and constraints. </w:t>
      </w:r>
      <w:r w:rsidR="00C80FEE" w:rsidRPr="00C80FEE">
        <w:rPr>
          <w:rFonts w:ascii="Times New Roman" w:hAnsi="Times New Roman" w:cs="Times New Roman"/>
          <w:i/>
          <w:iCs/>
          <w:noProof/>
          <w:sz w:val="24"/>
          <w:szCs w:val="24"/>
        </w:rPr>
        <w:t>Venture Capital: An International Journal of Entrepreneurial Finance</w:t>
      </w:r>
      <w:r w:rsidR="00C80FEE" w:rsidRPr="00C80FEE">
        <w:rPr>
          <w:rFonts w:ascii="Times New Roman" w:hAnsi="Times New Roman" w:cs="Times New Roman"/>
          <w:noProof/>
          <w:sz w:val="24"/>
          <w:szCs w:val="24"/>
        </w:rPr>
        <w:t xml:space="preserve">, </w:t>
      </w:r>
      <w:r w:rsidR="00C80FEE" w:rsidRPr="00C80FEE">
        <w:rPr>
          <w:rFonts w:ascii="Times New Roman" w:hAnsi="Times New Roman" w:cs="Times New Roman"/>
          <w:i/>
          <w:iCs/>
          <w:noProof/>
          <w:sz w:val="24"/>
          <w:szCs w:val="24"/>
        </w:rPr>
        <w:t>24</w:t>
      </w:r>
      <w:r w:rsidR="00C80FEE" w:rsidRPr="00C80FEE">
        <w:rPr>
          <w:rFonts w:ascii="Times New Roman" w:hAnsi="Times New Roman" w:cs="Times New Roman"/>
          <w:noProof/>
          <w:sz w:val="24"/>
          <w:szCs w:val="24"/>
        </w:rPr>
        <w:t>(1), 25–46. https://doi.org/10.1080/13691066.2022.2067017</w:t>
      </w:r>
    </w:p>
    <w:p w14:paraId="5CA4F71C"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Ali, J. A. (2023). Does religiosity affect entrepreneurial intention across countries? </w:t>
      </w:r>
      <w:r w:rsidRPr="00C80FEE">
        <w:rPr>
          <w:rFonts w:ascii="Times New Roman" w:hAnsi="Times New Roman" w:cs="Times New Roman"/>
          <w:i/>
          <w:iCs/>
          <w:noProof/>
          <w:sz w:val="24"/>
          <w:szCs w:val="24"/>
        </w:rPr>
        <w:t>International Journal of Sociology and Social Policy</w:t>
      </w:r>
      <w:r w:rsidRPr="00C80FEE">
        <w:rPr>
          <w:rFonts w:ascii="Times New Roman" w:hAnsi="Times New Roman" w:cs="Times New Roman"/>
          <w:noProof/>
          <w:sz w:val="24"/>
          <w:szCs w:val="24"/>
        </w:rPr>
        <w:t>. https://doi.org/10.1108/ijssp-11-2022-0303</w:t>
      </w:r>
    </w:p>
    <w:p w14:paraId="3FA8DEC3"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Bainbridge, S. M. (2018). The parable of the talents. </w:t>
      </w:r>
      <w:r w:rsidRPr="00C80FEE">
        <w:rPr>
          <w:rFonts w:ascii="Times New Roman" w:hAnsi="Times New Roman" w:cs="Times New Roman"/>
          <w:i/>
          <w:iCs/>
          <w:noProof/>
          <w:sz w:val="24"/>
          <w:szCs w:val="24"/>
        </w:rPr>
        <w:t>Social Science Research Network</w:t>
      </w:r>
      <w:r w:rsidRPr="00C80FEE">
        <w:rPr>
          <w:rFonts w:ascii="Times New Roman" w:hAnsi="Times New Roman" w:cs="Times New Roman"/>
          <w:noProof/>
          <w:sz w:val="24"/>
          <w:szCs w:val="24"/>
        </w:rPr>
        <w:t>. https://doi.org/10.4337/9781784714833.00014</w:t>
      </w:r>
    </w:p>
    <w:p w14:paraId="4C76C6C4"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Bandur, H. (2023). Entrepreneurship Menuju Agen Pastoral Yang Berkarakter Inovatif, Kreatif dan Mandiri. </w:t>
      </w:r>
      <w:r w:rsidRPr="00C80FEE">
        <w:rPr>
          <w:rFonts w:ascii="Times New Roman" w:hAnsi="Times New Roman" w:cs="Times New Roman"/>
          <w:i/>
          <w:iCs/>
          <w:noProof/>
          <w:sz w:val="24"/>
          <w:szCs w:val="24"/>
        </w:rPr>
        <w:t>Jurnal ALternatif Wacana Ilmiah Interkultural</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Vol. 2 No.</w:t>
      </w:r>
      <w:r w:rsidRPr="00C80FEE">
        <w:rPr>
          <w:rFonts w:ascii="Times New Roman" w:hAnsi="Times New Roman" w:cs="Times New Roman"/>
          <w:noProof/>
          <w:sz w:val="24"/>
          <w:szCs w:val="24"/>
        </w:rPr>
        <w:t xml:space="preserve"> https://doi.org/10.60130/ja.v2i1.89</w:t>
      </w:r>
    </w:p>
    <w:p w14:paraId="03B42493"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Canjek, L., &amp; Žažar, K. (2020). </w:t>
      </w:r>
      <w:r w:rsidRPr="00C80FEE">
        <w:rPr>
          <w:rFonts w:ascii="Times New Roman" w:hAnsi="Times New Roman" w:cs="Times New Roman"/>
          <w:i/>
          <w:iCs/>
          <w:noProof/>
          <w:sz w:val="24"/>
          <w:szCs w:val="24"/>
        </w:rPr>
        <w:t>Prema sociologizaciji lijenosti – konceptualne klarifikacije i preliminarni empirijski uvidi</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29</w:t>
      </w:r>
      <w:r w:rsidRPr="00C80FEE">
        <w:rPr>
          <w:rFonts w:ascii="Times New Roman" w:hAnsi="Times New Roman" w:cs="Times New Roman"/>
          <w:noProof/>
          <w:sz w:val="24"/>
          <w:szCs w:val="24"/>
        </w:rPr>
        <w:t>(1), 49–80. https://doi.org/10.17234/SOCEKOL.29.1.3</w:t>
      </w:r>
    </w:p>
    <w:p w14:paraId="30EBC6F0"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Chenoweth, B. (2005). Identifying the Talents: Contextual Clues for the Interpretation of the Parable of the Talents (Matthew 25:14-30). </w:t>
      </w:r>
      <w:r w:rsidRPr="00C80FEE">
        <w:rPr>
          <w:rFonts w:ascii="Times New Roman" w:hAnsi="Times New Roman" w:cs="Times New Roman"/>
          <w:i/>
          <w:iCs/>
          <w:noProof/>
          <w:sz w:val="24"/>
          <w:szCs w:val="24"/>
        </w:rPr>
        <w:t>Tyndale Bulletin</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56</w:t>
      </w:r>
      <w:r w:rsidRPr="00C80FEE">
        <w:rPr>
          <w:rFonts w:ascii="Times New Roman" w:hAnsi="Times New Roman" w:cs="Times New Roman"/>
          <w:noProof/>
          <w:sz w:val="24"/>
          <w:szCs w:val="24"/>
        </w:rPr>
        <w:t>(1), 61–72. https://doi.org/10.53751/001C.29194</w:t>
      </w:r>
    </w:p>
    <w:p w14:paraId="603BAD1E"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Dvouletý, O. (2023). Religion attitudes and youth entrepreneurship performance. </w:t>
      </w:r>
      <w:r w:rsidRPr="00C80FEE">
        <w:rPr>
          <w:rFonts w:ascii="Times New Roman" w:hAnsi="Times New Roman" w:cs="Times New Roman"/>
          <w:i/>
          <w:iCs/>
          <w:noProof/>
          <w:sz w:val="24"/>
          <w:szCs w:val="24"/>
        </w:rPr>
        <w:t>Journal of Small Business and Entrepreneurship</w:t>
      </w:r>
      <w:r w:rsidRPr="00C80FEE">
        <w:rPr>
          <w:rFonts w:ascii="Times New Roman" w:hAnsi="Times New Roman" w:cs="Times New Roman"/>
          <w:noProof/>
          <w:sz w:val="24"/>
          <w:szCs w:val="24"/>
        </w:rPr>
        <w:t>, 1–19. https://doi.org/10.1080/08276331.2023.2182599</w:t>
      </w:r>
    </w:p>
    <w:p w14:paraId="6C6D401F"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Falach, A. N. (2023). </w:t>
      </w:r>
      <w:r w:rsidRPr="00C80FEE">
        <w:rPr>
          <w:rFonts w:ascii="Times New Roman" w:hAnsi="Times New Roman" w:cs="Times New Roman"/>
          <w:i/>
          <w:iCs/>
          <w:noProof/>
          <w:sz w:val="24"/>
          <w:szCs w:val="24"/>
        </w:rPr>
        <w:t>Literasi Kewirausahaan Sosial Islam Pada Pengusaha Muslim di Indonesia</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4</w:t>
      </w:r>
      <w:r w:rsidRPr="00C80FEE">
        <w:rPr>
          <w:rFonts w:ascii="Times New Roman" w:hAnsi="Times New Roman" w:cs="Times New Roman"/>
          <w:noProof/>
          <w:sz w:val="24"/>
          <w:szCs w:val="24"/>
        </w:rPr>
        <w:t>(1), 12–19. https://doi.org/10.54471/idarotuna.v4i1.40</w:t>
      </w:r>
    </w:p>
    <w:p w14:paraId="3641D881"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Ferdiansyah, O., &amp; Permana, E. J. (2022). Peran start up untuk pengembangan kewirausahaan mahasiswa pasca pandemi covid 19 di Indonesia. </w:t>
      </w:r>
      <w:r w:rsidRPr="00C80FEE">
        <w:rPr>
          <w:rFonts w:ascii="Times New Roman" w:hAnsi="Times New Roman" w:cs="Times New Roman"/>
          <w:i/>
          <w:iCs/>
          <w:noProof/>
          <w:sz w:val="24"/>
          <w:szCs w:val="24"/>
        </w:rPr>
        <w:t xml:space="preserve">Jurnal Riset </w:t>
      </w:r>
      <w:r w:rsidRPr="00C80FEE">
        <w:rPr>
          <w:rFonts w:ascii="Times New Roman" w:hAnsi="Times New Roman" w:cs="Times New Roman"/>
          <w:i/>
          <w:iCs/>
          <w:noProof/>
          <w:sz w:val="24"/>
          <w:szCs w:val="24"/>
        </w:rPr>
        <w:lastRenderedPageBreak/>
        <w:t>Pendidikan Ekonomi</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7</w:t>
      </w:r>
      <w:r w:rsidRPr="00C80FEE">
        <w:rPr>
          <w:rFonts w:ascii="Times New Roman" w:hAnsi="Times New Roman" w:cs="Times New Roman"/>
          <w:noProof/>
          <w:sz w:val="24"/>
          <w:szCs w:val="24"/>
        </w:rPr>
        <w:t>(2), 151–159. https://doi.org/10.21067/jrpe.v7i2.6828</w:t>
      </w:r>
    </w:p>
    <w:p w14:paraId="171B8E6E"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Fougère, M., &amp; Solitander, N. (2023). Homo responsabilis as an extension of the neoliberal hidden curriculum: The triple responsibilization of responsible management education. </w:t>
      </w:r>
      <w:r w:rsidRPr="00C80FEE">
        <w:rPr>
          <w:rFonts w:ascii="Times New Roman" w:hAnsi="Times New Roman" w:cs="Times New Roman"/>
          <w:i/>
          <w:iCs/>
          <w:noProof/>
          <w:sz w:val="24"/>
          <w:szCs w:val="24"/>
        </w:rPr>
        <w:t>Management Learning</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54</w:t>
      </w:r>
      <w:r w:rsidRPr="00C80FEE">
        <w:rPr>
          <w:rFonts w:ascii="Times New Roman" w:hAnsi="Times New Roman" w:cs="Times New Roman"/>
          <w:noProof/>
          <w:sz w:val="24"/>
          <w:szCs w:val="24"/>
        </w:rPr>
        <w:t>(3), 396–417. https://doi.org/10.1177/13505076231162691</w:t>
      </w:r>
    </w:p>
    <w:p w14:paraId="1733C2F8"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Fuller, C. E. (1951). </w:t>
      </w:r>
      <w:r w:rsidRPr="00C80FEE">
        <w:rPr>
          <w:rFonts w:ascii="Times New Roman" w:hAnsi="Times New Roman" w:cs="Times New Roman"/>
          <w:i/>
          <w:iCs/>
          <w:noProof/>
          <w:sz w:val="24"/>
          <w:szCs w:val="24"/>
        </w:rPr>
        <w:t>The Parable of the Talents - Matthew 25:14-30</w:t>
      </w:r>
      <w:r w:rsidRPr="00C80FEE">
        <w:rPr>
          <w:rFonts w:ascii="Times New Roman" w:hAnsi="Times New Roman" w:cs="Times New Roman"/>
          <w:noProof/>
          <w:sz w:val="24"/>
          <w:szCs w:val="24"/>
        </w:rPr>
        <w:t>.</w:t>
      </w:r>
    </w:p>
    <w:p w14:paraId="37CB4FA1"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Grant, S. (2022). </w:t>
      </w:r>
      <w:r w:rsidRPr="00C80FEE">
        <w:rPr>
          <w:rFonts w:ascii="Times New Roman" w:hAnsi="Times New Roman" w:cs="Times New Roman"/>
          <w:i/>
          <w:iCs/>
          <w:noProof/>
          <w:sz w:val="24"/>
          <w:szCs w:val="24"/>
        </w:rPr>
        <w:t>Conclusions</w:t>
      </w:r>
      <w:r w:rsidRPr="00C80FEE">
        <w:rPr>
          <w:rFonts w:ascii="Times New Roman" w:hAnsi="Times New Roman" w:cs="Times New Roman"/>
          <w:noProof/>
          <w:sz w:val="24"/>
          <w:szCs w:val="24"/>
        </w:rPr>
        <w:t xml:space="preserve"> (pp. 177–178). https://doi.org/10.1007/978-3-031-22148-4_9</w:t>
      </w:r>
    </w:p>
    <w:p w14:paraId="0DBA9B6C"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Greaney, M. (2016). </w:t>
      </w:r>
      <w:r w:rsidRPr="00C80FEE">
        <w:rPr>
          <w:rFonts w:ascii="Times New Roman" w:hAnsi="Times New Roman" w:cs="Times New Roman"/>
          <w:i/>
          <w:iCs/>
          <w:noProof/>
          <w:sz w:val="24"/>
          <w:szCs w:val="24"/>
        </w:rPr>
        <w:t>Laziness:a literary-historical perspective</w:t>
      </w:r>
      <w:r w:rsidRPr="00C80FEE">
        <w:rPr>
          <w:rFonts w:ascii="Times New Roman" w:hAnsi="Times New Roman" w:cs="Times New Roman"/>
          <w:noProof/>
          <w:sz w:val="24"/>
          <w:szCs w:val="24"/>
        </w:rPr>
        <w:t xml:space="preserve"> (pp. 183–190). https://doi.org/10.1007/978-3-319-45264-7_22</w:t>
      </w:r>
    </w:p>
    <w:p w14:paraId="4AE94019"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Hadi, S., Abbas, E. W., &amp; Rajiani, I. (2022). Should spirituality be included in entrepreneurship education program curriculum to boost students’ entrepreneurial intention? </w:t>
      </w:r>
      <w:r w:rsidRPr="00C80FEE">
        <w:rPr>
          <w:rFonts w:ascii="Times New Roman" w:hAnsi="Times New Roman" w:cs="Times New Roman"/>
          <w:i/>
          <w:iCs/>
          <w:noProof/>
          <w:sz w:val="24"/>
          <w:szCs w:val="24"/>
        </w:rPr>
        <w:t>Frontiers in Education</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7</w:t>
      </w:r>
      <w:r w:rsidRPr="00C80FEE">
        <w:rPr>
          <w:rFonts w:ascii="Times New Roman" w:hAnsi="Times New Roman" w:cs="Times New Roman"/>
          <w:noProof/>
          <w:sz w:val="24"/>
          <w:szCs w:val="24"/>
        </w:rPr>
        <w:t>. https://doi.org/10.3389/feduc.2022.977089</w:t>
      </w:r>
    </w:p>
    <w:p w14:paraId="714CCBF5"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Handoyo, S. E. (2023). </w:t>
      </w:r>
      <w:r w:rsidRPr="00C80FEE">
        <w:rPr>
          <w:rFonts w:ascii="Times New Roman" w:hAnsi="Times New Roman" w:cs="Times New Roman"/>
          <w:i/>
          <w:iCs/>
          <w:noProof/>
          <w:sz w:val="24"/>
          <w:szCs w:val="24"/>
        </w:rPr>
        <w:t>Influence of Motivation, Business Capital, Entrepreneurial Knowledge, and Business Networks on Business Success</w:t>
      </w:r>
      <w:r w:rsidRPr="00C80FEE">
        <w:rPr>
          <w:rFonts w:ascii="Times New Roman" w:hAnsi="Times New Roman" w:cs="Times New Roman"/>
          <w:noProof/>
          <w:sz w:val="24"/>
          <w:szCs w:val="24"/>
        </w:rPr>
        <w:t>. https://doi.org/10.58291/ijmsa.v1i2.76</w:t>
      </w:r>
    </w:p>
    <w:p w14:paraId="2A395DC8"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Hara, K., Inoue, M., &amp; Maestre, J. M. (2021). </w:t>
      </w:r>
      <w:r w:rsidRPr="00C80FEE">
        <w:rPr>
          <w:rFonts w:ascii="Times New Roman" w:hAnsi="Times New Roman" w:cs="Times New Roman"/>
          <w:i/>
          <w:iCs/>
          <w:noProof/>
          <w:sz w:val="24"/>
          <w:szCs w:val="24"/>
        </w:rPr>
        <w:t>Data-Driven Human Modeling: Quantifying Personal Tendency Toward Laziness</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5</w:t>
      </w:r>
      <w:r w:rsidRPr="00C80FEE">
        <w:rPr>
          <w:rFonts w:ascii="Times New Roman" w:hAnsi="Times New Roman" w:cs="Times New Roman"/>
          <w:noProof/>
          <w:sz w:val="24"/>
          <w:szCs w:val="24"/>
        </w:rPr>
        <w:t>(4), 1219–1224. https://doi.org/10.1109/LCSYS.2020.3023337</w:t>
      </w:r>
    </w:p>
    <w:p w14:paraId="75CF8B28"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Hu, D., &amp; Primc, N. (2023). Should responsibility be used as a tiebreaker in allocation of deceased donor organs for patients suffering from alcohol-related end-stage liver disease? </w:t>
      </w:r>
      <w:r w:rsidRPr="00C80FEE">
        <w:rPr>
          <w:rFonts w:ascii="Times New Roman" w:hAnsi="Times New Roman" w:cs="Times New Roman"/>
          <w:i/>
          <w:iCs/>
          <w:noProof/>
          <w:sz w:val="24"/>
          <w:szCs w:val="24"/>
        </w:rPr>
        <w:t>Medicine Health Care and Philosophy</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26</w:t>
      </w:r>
      <w:r w:rsidRPr="00C80FEE">
        <w:rPr>
          <w:rFonts w:ascii="Times New Roman" w:hAnsi="Times New Roman" w:cs="Times New Roman"/>
          <w:noProof/>
          <w:sz w:val="24"/>
          <w:szCs w:val="24"/>
        </w:rPr>
        <w:t>(2), 243–255. https://doi.org/10.1007/s11019-023-10141-3</w:t>
      </w:r>
    </w:p>
    <w:p w14:paraId="361A8501"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Junqueira, M. I. C., Cruz, A. D., &amp; Gratton, P. C. (2023). Not by what we see: how Christian religious beliefs influence market and community logics in a rural context. </w:t>
      </w:r>
      <w:r w:rsidRPr="00C80FEE">
        <w:rPr>
          <w:rFonts w:ascii="Times New Roman" w:hAnsi="Times New Roman" w:cs="Times New Roman"/>
          <w:i/>
          <w:iCs/>
          <w:noProof/>
          <w:sz w:val="24"/>
          <w:szCs w:val="24"/>
        </w:rPr>
        <w:t>The International Journal of Organizational Analysis</w:t>
      </w:r>
      <w:r w:rsidRPr="00C80FEE">
        <w:rPr>
          <w:rFonts w:ascii="Times New Roman" w:hAnsi="Times New Roman" w:cs="Times New Roman"/>
          <w:noProof/>
          <w:sz w:val="24"/>
          <w:szCs w:val="24"/>
        </w:rPr>
        <w:t>. https://doi.org/10.1108/ijoa-12-2022-3520</w:t>
      </w:r>
    </w:p>
    <w:p w14:paraId="326D3A6D"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Khoirunnisa, A., Salsabiil, U. Z., Sodik, F., &amp; Yusfiarto, R. (2023). Linking religiosity to socio-entrepreneurship intention: a case of muslim youth in indonesia. </w:t>
      </w:r>
      <w:r w:rsidRPr="00C80FEE">
        <w:rPr>
          <w:rFonts w:ascii="Times New Roman" w:hAnsi="Times New Roman" w:cs="Times New Roman"/>
          <w:i/>
          <w:iCs/>
          <w:noProof/>
          <w:sz w:val="24"/>
          <w:szCs w:val="24"/>
        </w:rPr>
        <w:t>Journal of Islamic Monetary Economics and Finance</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9</w:t>
      </w:r>
      <w:r w:rsidRPr="00C80FEE">
        <w:rPr>
          <w:rFonts w:ascii="Times New Roman" w:hAnsi="Times New Roman" w:cs="Times New Roman"/>
          <w:noProof/>
          <w:sz w:val="24"/>
          <w:szCs w:val="24"/>
        </w:rPr>
        <w:t>(2). https://doi.org/10.21098/jimf.v9i2.1647</w:t>
      </w:r>
    </w:p>
    <w:p w14:paraId="236730E1"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Kuzmina, M. D. (2022). The Motif of Laziness in the Friendly Correspondence of the Young I.V. Kireevsky. </w:t>
      </w:r>
      <w:r w:rsidRPr="00C80FEE">
        <w:rPr>
          <w:rFonts w:ascii="Times New Roman" w:hAnsi="Times New Roman" w:cs="Times New Roman"/>
          <w:i/>
          <w:iCs/>
          <w:noProof/>
          <w:sz w:val="24"/>
          <w:szCs w:val="24"/>
        </w:rPr>
        <w:t>Studia Litterarum</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7</w:t>
      </w:r>
      <w:r w:rsidRPr="00C80FEE">
        <w:rPr>
          <w:rFonts w:ascii="Times New Roman" w:hAnsi="Times New Roman" w:cs="Times New Roman"/>
          <w:noProof/>
          <w:sz w:val="24"/>
          <w:szCs w:val="24"/>
        </w:rPr>
        <w:t>(1), 240–259. https://doi.org/10.22455/2500-4247-2022-7-1-240-259</w:t>
      </w:r>
    </w:p>
    <w:p w14:paraId="48CAF3F1" w14:textId="77777777" w:rsidR="00C80FEE" w:rsidRPr="00C80FEE" w:rsidRDefault="00C80FEE" w:rsidP="002C3752">
      <w:pPr>
        <w:widowControl w:val="0"/>
        <w:autoSpaceDE w:val="0"/>
        <w:autoSpaceDN w:val="0"/>
        <w:adjustRightInd w:val="0"/>
        <w:ind w:left="480" w:hanging="480"/>
        <w:jc w:val="both"/>
        <w:rPr>
          <w:rFonts w:ascii="Times New Roman" w:hAnsi="Times New Roman" w:cs="Times New Roman"/>
          <w:noProof/>
          <w:sz w:val="24"/>
          <w:szCs w:val="24"/>
        </w:rPr>
      </w:pPr>
      <w:r w:rsidRPr="00C80FEE">
        <w:rPr>
          <w:rFonts w:ascii="Times New Roman" w:hAnsi="Times New Roman" w:cs="Times New Roman"/>
          <w:noProof/>
          <w:sz w:val="24"/>
          <w:szCs w:val="24"/>
        </w:rPr>
        <w:t xml:space="preserve">Lafarre, A., &amp; Schoonbrood, I. (2023). </w:t>
      </w:r>
      <w:r w:rsidRPr="00C80FEE">
        <w:rPr>
          <w:rFonts w:ascii="Times New Roman" w:hAnsi="Times New Roman" w:cs="Times New Roman"/>
          <w:i/>
          <w:iCs/>
          <w:noProof/>
          <w:sz w:val="24"/>
          <w:szCs w:val="24"/>
        </w:rPr>
        <w:t>Entrepreneurial Finance</w:t>
      </w:r>
      <w:r w:rsidRPr="00C80FEE">
        <w:rPr>
          <w:rFonts w:ascii="Times New Roman" w:hAnsi="Times New Roman" w:cs="Times New Roman"/>
          <w:noProof/>
          <w:sz w:val="24"/>
          <w:szCs w:val="24"/>
        </w:rPr>
        <w:t xml:space="preserve"> (pp. 353–380). https://doi.org/10.1007/978-3-031-19554-9_15</w:t>
      </w:r>
    </w:p>
    <w:p w14:paraId="2CFD33FA"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McIntyre, N. C. F., Quaye, E. S., Anning-Dorson, T., Lanivich, S. E., &amp; Adomako, S. (2023). Investigating the impact of religiosity on entrepreneurial intentions. </w:t>
      </w:r>
      <w:r w:rsidRPr="00C80FEE">
        <w:rPr>
          <w:rFonts w:ascii="Times New Roman" w:hAnsi="Times New Roman" w:cs="Times New Roman"/>
          <w:i/>
          <w:iCs/>
          <w:noProof/>
          <w:sz w:val="24"/>
          <w:szCs w:val="24"/>
        </w:rPr>
        <w:t>Journal of Business Research</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156</w:t>
      </w:r>
      <w:r w:rsidRPr="00C80FEE">
        <w:rPr>
          <w:rFonts w:ascii="Times New Roman" w:hAnsi="Times New Roman" w:cs="Times New Roman"/>
          <w:noProof/>
          <w:sz w:val="24"/>
          <w:szCs w:val="24"/>
        </w:rPr>
        <w:t>, 113528. https://doi.org/10.1016/j.jbusres.2022.113528</w:t>
      </w:r>
    </w:p>
    <w:p w14:paraId="08BFC5FB"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Murphy, P. E. (2009). The Relevance of Responsibility to Ethical Business Decisions. </w:t>
      </w:r>
      <w:r w:rsidRPr="00C80FEE">
        <w:rPr>
          <w:rFonts w:ascii="Times New Roman" w:hAnsi="Times New Roman" w:cs="Times New Roman"/>
          <w:i/>
          <w:iCs/>
          <w:noProof/>
          <w:sz w:val="24"/>
          <w:szCs w:val="24"/>
        </w:rPr>
        <w:t>Journal of Business Ethics</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90</w:t>
      </w:r>
      <w:r w:rsidRPr="00C80FEE">
        <w:rPr>
          <w:rFonts w:ascii="Times New Roman" w:hAnsi="Times New Roman" w:cs="Times New Roman"/>
          <w:noProof/>
          <w:sz w:val="24"/>
          <w:szCs w:val="24"/>
        </w:rPr>
        <w:t>(2), 245–252. https://doi.org/10.1007/S10551-010-0378-4</w:t>
      </w:r>
    </w:p>
    <w:p w14:paraId="401ADE96"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Ncanywa, T., &amp; Dyantyi, N. (2022). The Role of Entrepreneurship Education in Higher Education Institutions. </w:t>
      </w:r>
      <w:r w:rsidRPr="00C80FEE">
        <w:rPr>
          <w:rFonts w:ascii="Times New Roman" w:hAnsi="Times New Roman" w:cs="Times New Roman"/>
          <w:i/>
          <w:iCs/>
          <w:noProof/>
          <w:sz w:val="24"/>
          <w:szCs w:val="24"/>
        </w:rPr>
        <w:t>E-Journal of Humanities, Arts and Social Sciences</w:t>
      </w:r>
      <w:r w:rsidRPr="00C80FEE">
        <w:rPr>
          <w:rFonts w:ascii="Times New Roman" w:hAnsi="Times New Roman" w:cs="Times New Roman"/>
          <w:noProof/>
          <w:sz w:val="24"/>
          <w:szCs w:val="24"/>
        </w:rPr>
        <w:t>, 75–89. https://doi.org/10.38159/ehass.2022SP3117</w:t>
      </w:r>
    </w:p>
    <w:p w14:paraId="61DA075E"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Pramatha Sah. (2023). Factors Affecting Funding Choices of Entrepreneurs in India: An Analytical Study. </w:t>
      </w:r>
      <w:r w:rsidRPr="00C80FEE">
        <w:rPr>
          <w:rFonts w:ascii="Times New Roman" w:hAnsi="Times New Roman" w:cs="Times New Roman"/>
          <w:i/>
          <w:iCs/>
          <w:noProof/>
          <w:sz w:val="24"/>
          <w:szCs w:val="24"/>
        </w:rPr>
        <w:t>PsychologyandEducation</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55</w:t>
      </w:r>
      <w:r w:rsidRPr="00C80FEE">
        <w:rPr>
          <w:rFonts w:ascii="Times New Roman" w:hAnsi="Times New Roman" w:cs="Times New Roman"/>
          <w:noProof/>
          <w:sz w:val="24"/>
          <w:szCs w:val="24"/>
        </w:rPr>
        <w:t>(1). https://doi.org/10.48047/pne.2018.55.1.55</w:t>
      </w:r>
    </w:p>
    <w:p w14:paraId="04598A0D"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Sartorio, C. (2021). The concept of responsibility in the ethics of self-defense and war. </w:t>
      </w:r>
      <w:r w:rsidRPr="00C80FEE">
        <w:rPr>
          <w:rFonts w:ascii="Times New Roman" w:hAnsi="Times New Roman" w:cs="Times New Roman"/>
          <w:i/>
          <w:iCs/>
          <w:noProof/>
          <w:sz w:val="24"/>
          <w:szCs w:val="24"/>
        </w:rPr>
        <w:lastRenderedPageBreak/>
        <w:t>Philosophical Studies</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178</w:t>
      </w:r>
      <w:r w:rsidRPr="00C80FEE">
        <w:rPr>
          <w:rFonts w:ascii="Times New Roman" w:hAnsi="Times New Roman" w:cs="Times New Roman"/>
          <w:noProof/>
          <w:sz w:val="24"/>
          <w:szCs w:val="24"/>
        </w:rPr>
        <w:t>(11), 3561–3577. https://doi.org/10.1007/S11098-021-01614-3</w:t>
      </w:r>
    </w:p>
    <w:p w14:paraId="7A11D396"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Sihite, F., &amp; Mendrofa, H. P. (2022). Theopreneurship dalam Kemandirian Finansial Gereja Perintisan. </w:t>
      </w:r>
      <w:r w:rsidRPr="00C80FEE">
        <w:rPr>
          <w:rFonts w:ascii="Times New Roman" w:hAnsi="Times New Roman" w:cs="Times New Roman"/>
          <w:i/>
          <w:iCs/>
          <w:noProof/>
          <w:sz w:val="24"/>
          <w:szCs w:val="24"/>
        </w:rPr>
        <w:t>Epigraphe</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6</w:t>
      </w:r>
      <w:r w:rsidRPr="00C80FEE">
        <w:rPr>
          <w:rFonts w:ascii="Times New Roman" w:hAnsi="Times New Roman" w:cs="Times New Roman"/>
          <w:noProof/>
          <w:sz w:val="24"/>
          <w:szCs w:val="24"/>
        </w:rPr>
        <w:t>(1), 76. https://doi.org/10.33991/epigraphe.v6i1.354</w:t>
      </w:r>
    </w:p>
    <w:p w14:paraId="18EF0A8B"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Siswanto. (2023). Religiosity and entrepreneurial motivation roles in the goal-specific relation: a case of Muslim students in Indonesia. </w:t>
      </w:r>
      <w:r w:rsidRPr="00C80FEE">
        <w:rPr>
          <w:rFonts w:ascii="Times New Roman" w:hAnsi="Times New Roman" w:cs="Times New Roman"/>
          <w:i/>
          <w:iCs/>
          <w:noProof/>
          <w:sz w:val="24"/>
          <w:szCs w:val="24"/>
        </w:rPr>
        <w:t>Journal of Islamic Accounting and Business Research</w:t>
      </w:r>
      <w:r w:rsidRPr="00C80FEE">
        <w:rPr>
          <w:rFonts w:ascii="Times New Roman" w:hAnsi="Times New Roman" w:cs="Times New Roman"/>
          <w:noProof/>
          <w:sz w:val="24"/>
          <w:szCs w:val="24"/>
        </w:rPr>
        <w:t>. https://doi.org/10.1108/jiabr-02-2022-0056</w:t>
      </w:r>
    </w:p>
    <w:p w14:paraId="25744373" w14:textId="65859C1E" w:rsidR="00C80FEE" w:rsidRPr="00C80FEE" w:rsidRDefault="002C3752" w:rsidP="002C3752">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   </w:t>
      </w:r>
      <w:r w:rsidR="00C80FEE" w:rsidRPr="00C80FEE">
        <w:rPr>
          <w:rFonts w:ascii="Times New Roman" w:hAnsi="Times New Roman" w:cs="Times New Roman"/>
          <w:noProof/>
          <w:sz w:val="24"/>
          <w:szCs w:val="24"/>
        </w:rPr>
        <w:t xml:space="preserve">Sulaiman, M. B., Hashim, H., Ali, M. H., &amp; Ali, N. A. (2023). Exploring How Religiosity Influences Motivation: Lived Experience of Malay Muslim Entrepreneurs. </w:t>
      </w:r>
      <w:r w:rsidR="00C80FEE" w:rsidRPr="00C80FEE">
        <w:rPr>
          <w:rFonts w:ascii="Times New Roman" w:hAnsi="Times New Roman" w:cs="Times New Roman"/>
          <w:i/>
          <w:iCs/>
          <w:noProof/>
          <w:sz w:val="24"/>
          <w:szCs w:val="24"/>
        </w:rPr>
        <w:t>International Journal of Academic Research in Business &amp; Social Sciences</w:t>
      </w:r>
      <w:r w:rsidR="00C80FEE" w:rsidRPr="00C80FEE">
        <w:rPr>
          <w:rFonts w:ascii="Times New Roman" w:hAnsi="Times New Roman" w:cs="Times New Roman"/>
          <w:noProof/>
          <w:sz w:val="24"/>
          <w:szCs w:val="24"/>
        </w:rPr>
        <w:t xml:space="preserve">, </w:t>
      </w:r>
      <w:r w:rsidR="00C80FEE" w:rsidRPr="00C80FEE">
        <w:rPr>
          <w:rFonts w:ascii="Times New Roman" w:hAnsi="Times New Roman" w:cs="Times New Roman"/>
          <w:i/>
          <w:iCs/>
          <w:noProof/>
          <w:sz w:val="24"/>
          <w:szCs w:val="24"/>
        </w:rPr>
        <w:t>13</w:t>
      </w:r>
      <w:r w:rsidR="00C80FEE" w:rsidRPr="00C80FEE">
        <w:rPr>
          <w:rFonts w:ascii="Times New Roman" w:hAnsi="Times New Roman" w:cs="Times New Roman"/>
          <w:noProof/>
          <w:sz w:val="24"/>
          <w:szCs w:val="24"/>
        </w:rPr>
        <w:t>(1). https://doi.org/10.6007/ijarbss/v13-i1/15790</w:t>
      </w:r>
    </w:p>
    <w:p w14:paraId="784C5B28"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Tambunan, F. (2023). Effect of Business Capital on Entrepreneurship Success with Self-Confidence as Moderating Variable. </w:t>
      </w:r>
      <w:r w:rsidRPr="00C80FEE">
        <w:rPr>
          <w:rFonts w:ascii="Times New Roman" w:hAnsi="Times New Roman" w:cs="Times New Roman"/>
          <w:i/>
          <w:iCs/>
          <w:noProof/>
          <w:sz w:val="24"/>
          <w:szCs w:val="24"/>
        </w:rPr>
        <w:t>Randwick International of Social Science Journal</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4</w:t>
      </w:r>
      <w:r w:rsidRPr="00C80FEE">
        <w:rPr>
          <w:rFonts w:ascii="Times New Roman" w:hAnsi="Times New Roman" w:cs="Times New Roman"/>
          <w:noProof/>
          <w:sz w:val="24"/>
          <w:szCs w:val="24"/>
        </w:rPr>
        <w:t>(1), 74–79. https://doi.org/10.47175/rissj.v4i1.593</w:t>
      </w:r>
    </w:p>
    <w:p w14:paraId="2451F935"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Tönsing, J. G. (2019). </w:t>
      </w:r>
      <w:r w:rsidRPr="00C80FEE">
        <w:rPr>
          <w:rFonts w:ascii="Times New Roman" w:hAnsi="Times New Roman" w:cs="Times New Roman"/>
          <w:i/>
          <w:iCs/>
          <w:noProof/>
          <w:sz w:val="24"/>
          <w:szCs w:val="24"/>
        </w:rPr>
        <w:t>Scolding the ‘Wicked, Lazy’ Servant; Is the Master God?: A Redaction-Critical Study of Matthew 25:14–30 and Luke 19:11–27</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53</w:t>
      </w:r>
      <w:r w:rsidRPr="00C80FEE">
        <w:rPr>
          <w:rFonts w:ascii="Times New Roman" w:hAnsi="Times New Roman" w:cs="Times New Roman"/>
          <w:noProof/>
          <w:sz w:val="24"/>
          <w:szCs w:val="24"/>
        </w:rPr>
        <w:t>(1), 123–147. https://doi.org/10.1353/NEO.2019.0013</w:t>
      </w:r>
    </w:p>
    <w:p w14:paraId="77D21A7A"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szCs w:val="24"/>
        </w:rPr>
      </w:pPr>
      <w:r w:rsidRPr="00C80FEE">
        <w:rPr>
          <w:rFonts w:ascii="Times New Roman" w:hAnsi="Times New Roman" w:cs="Times New Roman"/>
          <w:noProof/>
          <w:sz w:val="24"/>
          <w:szCs w:val="24"/>
        </w:rPr>
        <w:t xml:space="preserve">Trujillo, J. V. (2022). </w:t>
      </w:r>
      <w:r w:rsidRPr="00C80FEE">
        <w:rPr>
          <w:rFonts w:ascii="Times New Roman" w:hAnsi="Times New Roman" w:cs="Times New Roman"/>
          <w:i/>
          <w:iCs/>
          <w:noProof/>
          <w:sz w:val="24"/>
          <w:szCs w:val="24"/>
        </w:rPr>
        <w:t>19 Ethics and entrepreneurial finance</w:t>
      </w:r>
      <w:r w:rsidRPr="00C80FEE">
        <w:rPr>
          <w:rFonts w:ascii="Times New Roman" w:hAnsi="Times New Roman" w:cs="Times New Roman"/>
          <w:noProof/>
          <w:sz w:val="24"/>
          <w:szCs w:val="24"/>
        </w:rPr>
        <w:t xml:space="preserve"> (pp. 375–390). https://doi.org/10.1515/9783110726312-024</w:t>
      </w:r>
    </w:p>
    <w:p w14:paraId="524EAB50" w14:textId="77777777" w:rsidR="00C80FEE" w:rsidRPr="00C80FEE" w:rsidRDefault="00C80FEE" w:rsidP="00C80FEE">
      <w:pPr>
        <w:widowControl w:val="0"/>
        <w:autoSpaceDE w:val="0"/>
        <w:autoSpaceDN w:val="0"/>
        <w:adjustRightInd w:val="0"/>
        <w:ind w:left="480" w:hanging="480"/>
        <w:rPr>
          <w:rFonts w:ascii="Times New Roman" w:hAnsi="Times New Roman" w:cs="Times New Roman"/>
          <w:noProof/>
          <w:sz w:val="24"/>
        </w:rPr>
      </w:pPr>
      <w:r w:rsidRPr="00C80FEE">
        <w:rPr>
          <w:rFonts w:ascii="Times New Roman" w:hAnsi="Times New Roman" w:cs="Times New Roman"/>
          <w:noProof/>
          <w:sz w:val="24"/>
          <w:szCs w:val="24"/>
        </w:rPr>
        <w:t xml:space="preserve">Ukpong, J. S. (2012). </w:t>
      </w:r>
      <w:r w:rsidRPr="00C80FEE">
        <w:rPr>
          <w:rFonts w:ascii="Times New Roman" w:hAnsi="Times New Roman" w:cs="Times New Roman"/>
          <w:i/>
          <w:iCs/>
          <w:noProof/>
          <w:sz w:val="24"/>
          <w:szCs w:val="24"/>
        </w:rPr>
        <w:t>The parable of the talents (Matthew 25:14-30) : commendation or critique of exploitation? : a social-historical and theological reading</w:t>
      </w:r>
      <w:r w:rsidRPr="00C80FEE">
        <w:rPr>
          <w:rFonts w:ascii="Times New Roman" w:hAnsi="Times New Roman" w:cs="Times New Roman"/>
          <w:noProof/>
          <w:sz w:val="24"/>
          <w:szCs w:val="24"/>
        </w:rPr>
        <w:t xml:space="preserve">. </w:t>
      </w:r>
      <w:r w:rsidRPr="00C80FEE">
        <w:rPr>
          <w:rFonts w:ascii="Times New Roman" w:hAnsi="Times New Roman" w:cs="Times New Roman"/>
          <w:i/>
          <w:iCs/>
          <w:noProof/>
          <w:sz w:val="24"/>
          <w:szCs w:val="24"/>
        </w:rPr>
        <w:t>46</w:t>
      </w:r>
      <w:r w:rsidRPr="00C80FEE">
        <w:rPr>
          <w:rFonts w:ascii="Times New Roman" w:hAnsi="Times New Roman" w:cs="Times New Roman"/>
          <w:noProof/>
          <w:sz w:val="24"/>
          <w:szCs w:val="24"/>
        </w:rPr>
        <w:t>(1), 190–207.</w:t>
      </w:r>
    </w:p>
    <w:p w14:paraId="3617F866" w14:textId="045195F3" w:rsidR="00EE4166" w:rsidRPr="000D698C" w:rsidRDefault="00EE4166" w:rsidP="007C6BFC">
      <w:pPr>
        <w:jc w:val="both"/>
        <w:rPr>
          <w:rFonts w:ascii="Times New Roman" w:hAnsi="Times New Roman" w:cs="Times New Roman"/>
          <w:color w:val="C00000"/>
          <w:sz w:val="24"/>
          <w:szCs w:val="24"/>
        </w:rPr>
      </w:pPr>
      <w:r w:rsidRPr="000D698C">
        <w:rPr>
          <w:rFonts w:ascii="Times New Roman" w:hAnsi="Times New Roman" w:cs="Times New Roman"/>
          <w:color w:val="C00000"/>
          <w:sz w:val="24"/>
          <w:szCs w:val="24"/>
        </w:rPr>
        <w:fldChar w:fldCharType="end"/>
      </w:r>
    </w:p>
    <w:sectPr w:rsidR="00EE4166" w:rsidRPr="000D698C" w:rsidSect="00BB6A05">
      <w:footerReference w:type="default" r:id="rId7"/>
      <w:type w:val="continuous"/>
      <w:pgSz w:w="11906" w:h="16838" w:code="9"/>
      <w:pgMar w:top="1134" w:right="1134" w:bottom="1134" w:left="1134" w:header="1134" w:footer="1134" w:gutter="11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591BA" w14:textId="77777777" w:rsidR="00216728" w:rsidRDefault="00216728" w:rsidP="004B3F3F">
      <w:r>
        <w:separator/>
      </w:r>
    </w:p>
  </w:endnote>
  <w:endnote w:type="continuationSeparator" w:id="0">
    <w:p w14:paraId="67A961A7" w14:textId="77777777" w:rsidR="00216728" w:rsidRDefault="00216728" w:rsidP="004B3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723200"/>
      <w:docPartObj>
        <w:docPartGallery w:val="Page Numbers (Bottom of Page)"/>
        <w:docPartUnique/>
      </w:docPartObj>
    </w:sdtPr>
    <w:sdtEndPr>
      <w:rPr>
        <w:noProof/>
      </w:rPr>
    </w:sdtEndPr>
    <w:sdtContent>
      <w:p w14:paraId="775C6DCB" w14:textId="2EEFDD8C" w:rsidR="007C6BFC" w:rsidRDefault="007C6BFC">
        <w:pPr>
          <w:pStyle w:val="Footer"/>
          <w:jc w:val="right"/>
        </w:pPr>
        <w:r>
          <w:fldChar w:fldCharType="begin"/>
        </w:r>
        <w:r>
          <w:instrText xml:space="preserve"> PAGE   \* MERGEFORMAT </w:instrText>
        </w:r>
        <w:r>
          <w:fldChar w:fldCharType="separate"/>
        </w:r>
        <w:r w:rsidR="0052718A">
          <w:rPr>
            <w:noProof/>
          </w:rPr>
          <w:t>3</w:t>
        </w:r>
        <w:r>
          <w:rPr>
            <w:noProof/>
          </w:rPr>
          <w:fldChar w:fldCharType="end"/>
        </w:r>
      </w:p>
    </w:sdtContent>
  </w:sdt>
  <w:p w14:paraId="791D01CF" w14:textId="77777777" w:rsidR="007C6BFC" w:rsidRDefault="007C6B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43E8C" w14:textId="77777777" w:rsidR="00216728" w:rsidRDefault="00216728" w:rsidP="004B3F3F">
      <w:r>
        <w:separator/>
      </w:r>
    </w:p>
  </w:footnote>
  <w:footnote w:type="continuationSeparator" w:id="0">
    <w:p w14:paraId="4F008439" w14:textId="77777777" w:rsidR="00216728" w:rsidRDefault="00216728" w:rsidP="004B3F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E3tDA0MjWytLA0MDFQ0lEKTi0uzszPAykwqQUAYs0vqywAAAA="/>
  </w:docVars>
  <w:rsids>
    <w:rsidRoot w:val="00D2201A"/>
    <w:rsid w:val="00052B4F"/>
    <w:rsid w:val="000607BA"/>
    <w:rsid w:val="00064552"/>
    <w:rsid w:val="000719BF"/>
    <w:rsid w:val="00095AEB"/>
    <w:rsid w:val="000B3D7F"/>
    <w:rsid w:val="000D2DDD"/>
    <w:rsid w:val="000D698C"/>
    <w:rsid w:val="00106118"/>
    <w:rsid w:val="00110F56"/>
    <w:rsid w:val="0011573A"/>
    <w:rsid w:val="00164861"/>
    <w:rsid w:val="00177BD1"/>
    <w:rsid w:val="001816CC"/>
    <w:rsid w:val="001837E2"/>
    <w:rsid w:val="001920E4"/>
    <w:rsid w:val="001943D9"/>
    <w:rsid w:val="001B1799"/>
    <w:rsid w:val="001B1F39"/>
    <w:rsid w:val="001B75BD"/>
    <w:rsid w:val="001B76D1"/>
    <w:rsid w:val="001C2B69"/>
    <w:rsid w:val="001C77FA"/>
    <w:rsid w:val="00216728"/>
    <w:rsid w:val="00216F4C"/>
    <w:rsid w:val="0022533E"/>
    <w:rsid w:val="00246528"/>
    <w:rsid w:val="00251ECD"/>
    <w:rsid w:val="002829A0"/>
    <w:rsid w:val="002961FD"/>
    <w:rsid w:val="00296D6C"/>
    <w:rsid w:val="002A419E"/>
    <w:rsid w:val="002C12BD"/>
    <w:rsid w:val="002C3752"/>
    <w:rsid w:val="002D5632"/>
    <w:rsid w:val="002D6B61"/>
    <w:rsid w:val="003002ED"/>
    <w:rsid w:val="00301C8F"/>
    <w:rsid w:val="00302718"/>
    <w:rsid w:val="00313930"/>
    <w:rsid w:val="0034422B"/>
    <w:rsid w:val="00345881"/>
    <w:rsid w:val="00363DDB"/>
    <w:rsid w:val="00394E85"/>
    <w:rsid w:val="003C5271"/>
    <w:rsid w:val="003D2E2D"/>
    <w:rsid w:val="003E3A6F"/>
    <w:rsid w:val="003E3AB4"/>
    <w:rsid w:val="003E4F35"/>
    <w:rsid w:val="003F558C"/>
    <w:rsid w:val="0041562B"/>
    <w:rsid w:val="00436D34"/>
    <w:rsid w:val="00461397"/>
    <w:rsid w:val="0047689A"/>
    <w:rsid w:val="004A00F2"/>
    <w:rsid w:val="004B3F3F"/>
    <w:rsid w:val="004D2927"/>
    <w:rsid w:val="004E0DD4"/>
    <w:rsid w:val="004E614D"/>
    <w:rsid w:val="004F7A47"/>
    <w:rsid w:val="00520660"/>
    <w:rsid w:val="00524DF2"/>
    <w:rsid w:val="0052718A"/>
    <w:rsid w:val="0055359A"/>
    <w:rsid w:val="00554768"/>
    <w:rsid w:val="00567F26"/>
    <w:rsid w:val="00574FA8"/>
    <w:rsid w:val="00587CF4"/>
    <w:rsid w:val="0059247F"/>
    <w:rsid w:val="005A7691"/>
    <w:rsid w:val="005A7E39"/>
    <w:rsid w:val="005C4AC4"/>
    <w:rsid w:val="005D2958"/>
    <w:rsid w:val="005F7E17"/>
    <w:rsid w:val="0060049A"/>
    <w:rsid w:val="00605E81"/>
    <w:rsid w:val="006215E4"/>
    <w:rsid w:val="006407B7"/>
    <w:rsid w:val="006572FF"/>
    <w:rsid w:val="00677D37"/>
    <w:rsid w:val="00681B55"/>
    <w:rsid w:val="006A2D63"/>
    <w:rsid w:val="006B2E63"/>
    <w:rsid w:val="006D0588"/>
    <w:rsid w:val="00723678"/>
    <w:rsid w:val="00725798"/>
    <w:rsid w:val="00787E4D"/>
    <w:rsid w:val="007B411D"/>
    <w:rsid w:val="007C014E"/>
    <w:rsid w:val="007C6BFC"/>
    <w:rsid w:val="007F1C24"/>
    <w:rsid w:val="007F6DCF"/>
    <w:rsid w:val="008065FD"/>
    <w:rsid w:val="0085164D"/>
    <w:rsid w:val="00857035"/>
    <w:rsid w:val="0089528D"/>
    <w:rsid w:val="00896602"/>
    <w:rsid w:val="008B59C6"/>
    <w:rsid w:val="008B5E13"/>
    <w:rsid w:val="008C20C4"/>
    <w:rsid w:val="008F24FD"/>
    <w:rsid w:val="009024C3"/>
    <w:rsid w:val="00910DA4"/>
    <w:rsid w:val="00925016"/>
    <w:rsid w:val="00935C43"/>
    <w:rsid w:val="00936500"/>
    <w:rsid w:val="0095143A"/>
    <w:rsid w:val="00964BEE"/>
    <w:rsid w:val="009A0E52"/>
    <w:rsid w:val="009D4535"/>
    <w:rsid w:val="009F3AD3"/>
    <w:rsid w:val="009F6024"/>
    <w:rsid w:val="009F6B13"/>
    <w:rsid w:val="009F7CA1"/>
    <w:rsid w:val="00A01AA9"/>
    <w:rsid w:val="00A04C80"/>
    <w:rsid w:val="00A16DB9"/>
    <w:rsid w:val="00A268BE"/>
    <w:rsid w:val="00A647C3"/>
    <w:rsid w:val="00A67C49"/>
    <w:rsid w:val="00AD3E12"/>
    <w:rsid w:val="00AE6489"/>
    <w:rsid w:val="00AF2EC3"/>
    <w:rsid w:val="00B001E4"/>
    <w:rsid w:val="00B216E3"/>
    <w:rsid w:val="00B218A5"/>
    <w:rsid w:val="00B26A5E"/>
    <w:rsid w:val="00B528A3"/>
    <w:rsid w:val="00B94EEF"/>
    <w:rsid w:val="00BA176F"/>
    <w:rsid w:val="00BA6550"/>
    <w:rsid w:val="00BB162E"/>
    <w:rsid w:val="00BB4348"/>
    <w:rsid w:val="00BB6A05"/>
    <w:rsid w:val="00BD27B5"/>
    <w:rsid w:val="00BE6DE9"/>
    <w:rsid w:val="00BE703B"/>
    <w:rsid w:val="00C128B0"/>
    <w:rsid w:val="00C13496"/>
    <w:rsid w:val="00C46C84"/>
    <w:rsid w:val="00C4778A"/>
    <w:rsid w:val="00C53059"/>
    <w:rsid w:val="00C80FEE"/>
    <w:rsid w:val="00C96323"/>
    <w:rsid w:val="00C96590"/>
    <w:rsid w:val="00CD5E71"/>
    <w:rsid w:val="00CE56EC"/>
    <w:rsid w:val="00CF08B5"/>
    <w:rsid w:val="00D2201A"/>
    <w:rsid w:val="00D46EFA"/>
    <w:rsid w:val="00D56DDB"/>
    <w:rsid w:val="00D70D85"/>
    <w:rsid w:val="00D71707"/>
    <w:rsid w:val="00DA6741"/>
    <w:rsid w:val="00DB670C"/>
    <w:rsid w:val="00DD01A1"/>
    <w:rsid w:val="00DF7A71"/>
    <w:rsid w:val="00E2676B"/>
    <w:rsid w:val="00E32166"/>
    <w:rsid w:val="00EA12C4"/>
    <w:rsid w:val="00EB3ED5"/>
    <w:rsid w:val="00ED4443"/>
    <w:rsid w:val="00EE4166"/>
    <w:rsid w:val="00EF2826"/>
    <w:rsid w:val="00EF56F1"/>
    <w:rsid w:val="00EF6002"/>
    <w:rsid w:val="00EF6A16"/>
    <w:rsid w:val="00F0190C"/>
    <w:rsid w:val="00F01C4C"/>
    <w:rsid w:val="00F05725"/>
    <w:rsid w:val="00F064F9"/>
    <w:rsid w:val="00F2154F"/>
    <w:rsid w:val="00F22F32"/>
    <w:rsid w:val="00F27E29"/>
    <w:rsid w:val="00F40F1C"/>
    <w:rsid w:val="00F419BB"/>
    <w:rsid w:val="00F42CAA"/>
    <w:rsid w:val="00F6227B"/>
    <w:rsid w:val="00F7267C"/>
    <w:rsid w:val="00F74343"/>
    <w:rsid w:val="00F839DA"/>
    <w:rsid w:val="00F868DB"/>
    <w:rsid w:val="00F9347E"/>
    <w:rsid w:val="00FA45B9"/>
    <w:rsid w:val="00FB0186"/>
    <w:rsid w:val="00FB09CA"/>
    <w:rsid w:val="00FC33C8"/>
    <w:rsid w:val="00FD0754"/>
    <w:rsid w:val="00FE4D7C"/>
    <w:rsid w:val="00FE73FF"/>
    <w:rsid w:val="00FF0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FEC60"/>
  <w15:chartTrackingRefBased/>
  <w15:docId w15:val="{A0147F02-4D49-453E-84AA-E35B0328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DD4"/>
    <w:rPr>
      <w:rFonts w:asciiTheme="minorHAnsi" w:eastAsiaTheme="minorEastAsia" w:hAnsiTheme="minorHAnsi" w:cstheme="minorBidi"/>
      <w:kern w:val="0"/>
      <w:sz w:val="22"/>
      <w:szCs w:val="22"/>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rsid w:val="00C53059"/>
    <w:pPr>
      <w:ind w:left="720"/>
      <w:contextualSpacing/>
    </w:pPr>
    <w:rPr>
      <w:rFonts w:ascii="Times New Roman" w:eastAsiaTheme="minorHAnsi" w:hAnsi="Times New Roman" w:cs="Times New Roman"/>
      <w:kern w:val="2"/>
      <w:sz w:val="24"/>
      <w:szCs w:val="24"/>
      <w:lang w:val="en-US" w:eastAsia="en-US"/>
      <w14:ligatures w14:val="standardContextual"/>
    </w:rPr>
  </w:style>
  <w:style w:type="paragraph" w:styleId="EndnoteText">
    <w:name w:val="endnote text"/>
    <w:basedOn w:val="Normal"/>
    <w:link w:val="EndnoteTextChar"/>
    <w:uiPriority w:val="99"/>
    <w:semiHidden/>
    <w:unhideWhenUsed/>
    <w:rsid w:val="004B3F3F"/>
    <w:rPr>
      <w:sz w:val="20"/>
      <w:szCs w:val="20"/>
    </w:rPr>
  </w:style>
  <w:style w:type="character" w:customStyle="1" w:styleId="EndnoteTextChar">
    <w:name w:val="Endnote Text Char"/>
    <w:basedOn w:val="DefaultParagraphFont"/>
    <w:link w:val="EndnoteText"/>
    <w:uiPriority w:val="99"/>
    <w:semiHidden/>
    <w:rsid w:val="004B3F3F"/>
    <w:rPr>
      <w:rFonts w:asciiTheme="minorHAnsi" w:eastAsiaTheme="minorEastAsia" w:hAnsiTheme="minorHAnsi" w:cstheme="minorBidi"/>
      <w:kern w:val="0"/>
      <w:sz w:val="20"/>
      <w:szCs w:val="20"/>
      <w:lang w:val="id-ID" w:eastAsia="id-ID"/>
      <w14:ligatures w14:val="none"/>
    </w:rPr>
  </w:style>
  <w:style w:type="character" w:styleId="EndnoteReference">
    <w:name w:val="endnote reference"/>
    <w:basedOn w:val="DefaultParagraphFont"/>
    <w:uiPriority w:val="99"/>
    <w:semiHidden/>
    <w:unhideWhenUsed/>
    <w:rsid w:val="004B3F3F"/>
    <w:rPr>
      <w:vertAlign w:val="superscript"/>
    </w:rPr>
  </w:style>
  <w:style w:type="paragraph" w:styleId="FootnoteText">
    <w:name w:val="footnote text"/>
    <w:basedOn w:val="Normal"/>
    <w:link w:val="FootnoteTextChar"/>
    <w:uiPriority w:val="99"/>
    <w:semiHidden/>
    <w:unhideWhenUsed/>
    <w:rsid w:val="004B3F3F"/>
    <w:rPr>
      <w:sz w:val="20"/>
      <w:szCs w:val="20"/>
    </w:rPr>
  </w:style>
  <w:style w:type="character" w:customStyle="1" w:styleId="FootnoteTextChar">
    <w:name w:val="Footnote Text Char"/>
    <w:basedOn w:val="DefaultParagraphFont"/>
    <w:link w:val="FootnoteText"/>
    <w:uiPriority w:val="99"/>
    <w:semiHidden/>
    <w:rsid w:val="004B3F3F"/>
    <w:rPr>
      <w:rFonts w:asciiTheme="minorHAnsi" w:eastAsiaTheme="minorEastAsia" w:hAnsiTheme="minorHAnsi" w:cstheme="minorBidi"/>
      <w:kern w:val="0"/>
      <w:sz w:val="20"/>
      <w:szCs w:val="20"/>
      <w:lang w:val="id-ID" w:eastAsia="id-ID"/>
      <w14:ligatures w14:val="none"/>
    </w:rPr>
  </w:style>
  <w:style w:type="character" w:styleId="FootnoteReference">
    <w:name w:val="footnote reference"/>
    <w:basedOn w:val="DefaultParagraphFont"/>
    <w:uiPriority w:val="99"/>
    <w:semiHidden/>
    <w:unhideWhenUsed/>
    <w:rsid w:val="004B3F3F"/>
    <w:rPr>
      <w:vertAlign w:val="superscript"/>
    </w:rPr>
  </w:style>
  <w:style w:type="paragraph" w:customStyle="1" w:styleId="BODY">
    <w:name w:val="BODY"/>
    <w:basedOn w:val="Normal"/>
    <w:uiPriority w:val="99"/>
    <w:rsid w:val="00F40F1C"/>
    <w:pPr>
      <w:autoSpaceDE w:val="0"/>
      <w:autoSpaceDN w:val="0"/>
      <w:adjustRightInd w:val="0"/>
      <w:jc w:val="left"/>
    </w:pPr>
    <w:rPr>
      <w:rFonts w:ascii="Verdana" w:hAnsi="Verdana" w:cs="Verdana"/>
      <w:color w:val="292F33"/>
      <w:sz w:val="24"/>
      <w:szCs w:val="24"/>
    </w:rPr>
  </w:style>
  <w:style w:type="paragraph" w:styleId="Header">
    <w:name w:val="header"/>
    <w:basedOn w:val="Normal"/>
    <w:link w:val="HeaderChar"/>
    <w:uiPriority w:val="99"/>
    <w:unhideWhenUsed/>
    <w:rsid w:val="005A7691"/>
    <w:pPr>
      <w:tabs>
        <w:tab w:val="center" w:pos="4680"/>
        <w:tab w:val="right" w:pos="9360"/>
      </w:tabs>
    </w:pPr>
  </w:style>
  <w:style w:type="character" w:customStyle="1" w:styleId="HeaderChar">
    <w:name w:val="Header Char"/>
    <w:basedOn w:val="DefaultParagraphFont"/>
    <w:link w:val="Header"/>
    <w:uiPriority w:val="99"/>
    <w:rsid w:val="005A7691"/>
    <w:rPr>
      <w:rFonts w:asciiTheme="minorHAnsi" w:eastAsiaTheme="minorEastAsia" w:hAnsiTheme="minorHAnsi" w:cstheme="minorBidi"/>
      <w:kern w:val="0"/>
      <w:sz w:val="22"/>
      <w:szCs w:val="22"/>
      <w:lang w:val="id-ID" w:eastAsia="id-ID"/>
      <w14:ligatures w14:val="none"/>
    </w:rPr>
  </w:style>
  <w:style w:type="paragraph" w:styleId="Footer">
    <w:name w:val="footer"/>
    <w:basedOn w:val="Normal"/>
    <w:link w:val="FooterChar"/>
    <w:uiPriority w:val="99"/>
    <w:unhideWhenUsed/>
    <w:rsid w:val="005A7691"/>
    <w:pPr>
      <w:tabs>
        <w:tab w:val="center" w:pos="4680"/>
        <w:tab w:val="right" w:pos="9360"/>
      </w:tabs>
    </w:pPr>
  </w:style>
  <w:style w:type="character" w:customStyle="1" w:styleId="FooterChar">
    <w:name w:val="Footer Char"/>
    <w:basedOn w:val="DefaultParagraphFont"/>
    <w:link w:val="Footer"/>
    <w:uiPriority w:val="99"/>
    <w:rsid w:val="005A7691"/>
    <w:rPr>
      <w:rFonts w:asciiTheme="minorHAnsi" w:eastAsiaTheme="minorEastAsia" w:hAnsiTheme="minorHAnsi" w:cstheme="minorBidi"/>
      <w:kern w:val="0"/>
      <w:sz w:val="22"/>
      <w:szCs w:val="22"/>
      <w:lang w:val="id-ID" w:eastAsia="id-ID"/>
      <w14:ligatures w14:val="none"/>
    </w:rPr>
  </w:style>
  <w:style w:type="paragraph" w:styleId="NormalWeb">
    <w:name w:val="Normal (Web)"/>
    <w:basedOn w:val="Normal"/>
    <w:uiPriority w:val="99"/>
    <w:semiHidden/>
    <w:unhideWhenUsed/>
    <w:rsid w:val="00A67C49"/>
    <w:pPr>
      <w:spacing w:before="100" w:beforeAutospacing="1" w:after="100" w:afterAutospacing="1"/>
      <w:jc w:val="left"/>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936181">
      <w:bodyDiv w:val="1"/>
      <w:marLeft w:val="0"/>
      <w:marRight w:val="0"/>
      <w:marTop w:val="0"/>
      <w:marBottom w:val="0"/>
      <w:divBdr>
        <w:top w:val="none" w:sz="0" w:space="0" w:color="auto"/>
        <w:left w:val="none" w:sz="0" w:space="0" w:color="auto"/>
        <w:bottom w:val="none" w:sz="0" w:space="0" w:color="auto"/>
        <w:right w:val="none" w:sz="0" w:space="0" w:color="auto"/>
      </w:divBdr>
    </w:div>
    <w:div w:id="213224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D7D6E-B89C-4E49-AE84-778B8B4E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9</Pages>
  <Words>15937</Words>
  <Characters>86066</Characters>
  <Application>Microsoft Office Word</Application>
  <DocSecurity>0</DocSecurity>
  <Lines>717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Adolfina Koamesakh</dc:creator>
  <cp:keywords/>
  <dc:description/>
  <cp:lastModifiedBy>ASUS</cp:lastModifiedBy>
  <cp:revision>54</cp:revision>
  <dcterms:created xsi:type="dcterms:W3CDTF">2024-06-18T13:16:00Z</dcterms:created>
  <dcterms:modified xsi:type="dcterms:W3CDTF">2026-05-15T03:48:00Z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14cdf0c347eadf57267ac91473f987597c975fecae2d800b4a19816db9a44700</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http://www.zotero.org/styles/chicago-fullnote-bibliography</vt:lpwstr>
  </property>
  <property fmtid="{D5CDD505-2E9C-101B-9397-08002B2CF9AE}" pid="10" name="Mendeley Recent Style Name 3_1">
    <vt:lpwstr>Chicago Manual of Style 17th edition (full note)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9th edition (full note)</vt:lpwstr>
  </property>
  <property fmtid="{D5CDD505-2E9C-101B-9397-08002B2CF9AE}" pid="23" name="Mendeley Document_1">
    <vt:lpwstr>True</vt:lpwstr>
  </property>
  <property fmtid="{D5CDD505-2E9C-101B-9397-08002B2CF9AE}" pid="24" name="Mendeley Unique User Id_1">
    <vt:lpwstr>8a186d20-c991-377f-896a-754dbc37c7d3</vt:lpwstr>
  </property>
  <property fmtid="{D5CDD505-2E9C-101B-9397-08002B2CF9AE}" pid="25" name="Mendeley Citation Style_1">
    <vt:lpwstr>http://www.zotero.org/styles/apa</vt:lpwstr>
  </property>
</Properties>
</file>